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charts/chart11.xml" ContentType="application/vnd.openxmlformats-officedocument.drawingml.chart+xml"/>
  <Override PartName="/word/charts/style11.xml" ContentType="application/vnd.ms-office.chartstyle+xml"/>
  <Override PartName="/word/charts/colors11.xml" ContentType="application/vnd.ms-office.chartcolorstyle+xml"/>
  <Override PartName="/word/charts/chart12.xml" ContentType="application/vnd.openxmlformats-officedocument.drawingml.chart+xml"/>
  <Override PartName="/word/charts/style12.xml" ContentType="application/vnd.ms-office.chartstyle+xml"/>
  <Override PartName="/word/charts/colors12.xml" ContentType="application/vnd.ms-office.chartcolorstyle+xml"/>
  <Override PartName="/word/charts/chart13.xml" ContentType="application/vnd.openxmlformats-officedocument.drawingml.chart+xml"/>
  <Override PartName="/word/charts/style13.xml" ContentType="application/vnd.ms-office.chartstyle+xml"/>
  <Override PartName="/word/charts/colors13.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78A7CB" w14:textId="77777777" w:rsidR="008E48CE" w:rsidRPr="004F564F" w:rsidRDefault="008E48CE" w:rsidP="008E48CE">
      <w:pPr>
        <w:rPr>
          <w:lang w:val="pl-PL"/>
        </w:rPr>
      </w:pPr>
      <w:bookmarkStart w:id="0" w:name="_GoBack"/>
      <w:r w:rsidRPr="004F564F">
        <w:rPr>
          <w:lang w:val="pl-PL"/>
        </w:rPr>
        <w:t>SLIDE 1</w:t>
      </w:r>
    </w:p>
    <w:p w14:paraId="62CA08DC" w14:textId="77777777" w:rsidR="008E48CE" w:rsidRPr="004F564F" w:rsidRDefault="008E48CE" w:rsidP="008E48CE">
      <w:pPr>
        <w:rPr>
          <w:lang w:val="pl-PL"/>
        </w:rPr>
      </w:pPr>
      <w:r w:rsidRPr="004F564F">
        <w:rPr>
          <w:lang w:val="pl-PL"/>
        </w:rPr>
        <w:t>Wprowadzenie</w:t>
      </w:r>
    </w:p>
    <w:p w14:paraId="7BC2D242" w14:textId="77777777" w:rsidR="008E48CE" w:rsidRPr="004F564F" w:rsidRDefault="008E48CE" w:rsidP="008E48CE">
      <w:pPr>
        <w:rPr>
          <w:lang w:val="pl-PL"/>
        </w:rPr>
      </w:pPr>
      <w:r w:rsidRPr="004F564F">
        <w:rPr>
          <w:lang w:val="pl-PL"/>
        </w:rPr>
        <w:t>Rosnąca potrzeba większego zrównoważenia w naszym społeczeństwie i lepsze wykorzystanie zasobów naturalnych spowodowały znaczące zmiany w sposobie funkcjonowania naszej gospodarki, a zmiany te tylko będą nabierać na znaczeniu. Nowe dyrektywy tworzą różne zachęty dla firm do inwestowania w zieloną gospodarkę. Coraz więcej inwestorów bierze pod uwagę czynniki pozafinansowe podczas inwestowania, co może być szansą na wyróżnienie się pro-zielonych firm.</w:t>
      </w:r>
    </w:p>
    <w:p w14:paraId="7C093538" w14:textId="77777777" w:rsidR="008E48CE" w:rsidRPr="004F564F" w:rsidRDefault="008E48CE" w:rsidP="008E48CE">
      <w:pPr>
        <w:rPr>
          <w:lang w:val="pl-PL"/>
        </w:rPr>
      </w:pPr>
      <w:r w:rsidRPr="004F564F">
        <w:rPr>
          <w:lang w:val="pl-PL"/>
        </w:rPr>
        <w:t>Ekoedukacja stwarza ludziom i przedsiębiorcom możliwość większego zaangażowania w działania ekologiczne, aby przyspieszyć ruch społeczny w kierunku czystszego świata. Daje to również przedsiębiorstwom możliwość otwarcia się na zielony sektor zarówno ze względów etycznych, jak i ekonomicznych.</w:t>
      </w:r>
    </w:p>
    <w:p w14:paraId="084BA04E" w14:textId="77777777" w:rsidR="008E48CE" w:rsidRPr="004F564F" w:rsidRDefault="008E48CE" w:rsidP="008E48CE">
      <w:pPr>
        <w:rPr>
          <w:lang w:val="pl-PL"/>
        </w:rPr>
      </w:pPr>
      <w:r w:rsidRPr="004F564F">
        <w:rPr>
          <w:lang w:val="pl-PL"/>
        </w:rPr>
        <w:t>Treść szkolenia została opracowana zgodnie z wymaganiami projektu PROGREEN, finansowanego przez ERASMUS +, i obejmuje podstawy wiedzy z zakresu eko-edukacji.</w:t>
      </w:r>
    </w:p>
    <w:p w14:paraId="585186A8" w14:textId="77777777" w:rsidR="008E48CE" w:rsidRPr="004F564F" w:rsidRDefault="008E48CE" w:rsidP="008E48CE">
      <w:pPr>
        <w:rPr>
          <w:lang w:val="pl-PL"/>
        </w:rPr>
      </w:pPr>
    </w:p>
    <w:p w14:paraId="4AA7CF52" w14:textId="77777777" w:rsidR="008E48CE" w:rsidRPr="004F564F" w:rsidRDefault="008E48CE" w:rsidP="008E48CE">
      <w:pPr>
        <w:rPr>
          <w:lang w:val="pl-PL"/>
        </w:rPr>
      </w:pPr>
    </w:p>
    <w:p w14:paraId="22C95309" w14:textId="77777777" w:rsidR="008E48CE" w:rsidRPr="004F564F" w:rsidRDefault="008E48CE" w:rsidP="008E48CE">
      <w:pPr>
        <w:rPr>
          <w:lang w:val="pl-PL"/>
        </w:rPr>
      </w:pPr>
      <w:r w:rsidRPr="004F564F">
        <w:rPr>
          <w:lang w:val="pl-PL"/>
        </w:rPr>
        <w:t>SLAJD 2</w:t>
      </w:r>
    </w:p>
    <w:p w14:paraId="2083365F" w14:textId="77777777" w:rsidR="008E48CE" w:rsidRPr="004F564F" w:rsidRDefault="008E48CE" w:rsidP="008E48CE">
      <w:pPr>
        <w:rPr>
          <w:lang w:val="pl-PL"/>
        </w:rPr>
      </w:pPr>
      <w:r w:rsidRPr="004F564F">
        <w:rPr>
          <w:lang w:val="pl-PL"/>
        </w:rPr>
        <w:t>Wprowadzenie</w:t>
      </w:r>
    </w:p>
    <w:p w14:paraId="64C99388" w14:textId="77777777" w:rsidR="008E48CE" w:rsidRPr="004F564F" w:rsidRDefault="008E48CE" w:rsidP="008E48CE">
      <w:pPr>
        <w:rPr>
          <w:lang w:val="pl-PL"/>
        </w:rPr>
      </w:pPr>
      <w:r w:rsidRPr="004F564F">
        <w:rPr>
          <w:lang w:val="pl-PL"/>
        </w:rPr>
        <w:t>Zielona gospodarka odnosi się do gospodarki, której celem jest ograniczenie wpływu działań człowieka na środowisko naturalne wraz ze zrównoważonym rozwojem. Opiera się na 3 filarach:</w:t>
      </w:r>
    </w:p>
    <w:p w14:paraId="242DAB04" w14:textId="77777777" w:rsidR="008E48CE" w:rsidRPr="004F564F" w:rsidRDefault="008E48CE" w:rsidP="008E48CE">
      <w:pPr>
        <w:rPr>
          <w:lang w:val="pl-PL"/>
        </w:rPr>
      </w:pPr>
      <w:r w:rsidRPr="004F564F">
        <w:rPr>
          <w:lang w:val="pl-PL"/>
        </w:rPr>
        <w:t>1) Ekonomia</w:t>
      </w:r>
    </w:p>
    <w:p w14:paraId="07066D6E" w14:textId="77777777" w:rsidR="008E48CE" w:rsidRPr="004F564F" w:rsidRDefault="008E48CE" w:rsidP="008E48CE">
      <w:pPr>
        <w:rPr>
          <w:lang w:val="pl-PL"/>
        </w:rPr>
      </w:pPr>
      <w:r w:rsidRPr="004F564F">
        <w:rPr>
          <w:lang w:val="pl-PL"/>
        </w:rPr>
        <w:t>2) Społeczeństwo</w:t>
      </w:r>
    </w:p>
    <w:p w14:paraId="1CA0D88C" w14:textId="77777777" w:rsidR="008E48CE" w:rsidRPr="004F564F" w:rsidRDefault="008E48CE" w:rsidP="008E48CE">
      <w:pPr>
        <w:rPr>
          <w:lang w:val="pl-PL"/>
        </w:rPr>
      </w:pPr>
      <w:r w:rsidRPr="004F564F">
        <w:rPr>
          <w:lang w:val="pl-PL"/>
        </w:rPr>
        <w:t>3) Środowisko</w:t>
      </w:r>
    </w:p>
    <w:p w14:paraId="61A0468D" w14:textId="77777777" w:rsidR="008E48CE" w:rsidRPr="004F564F" w:rsidRDefault="008E48CE" w:rsidP="008E48CE">
      <w:pPr>
        <w:rPr>
          <w:lang w:val="pl-PL"/>
        </w:rPr>
      </w:pPr>
      <w:r w:rsidRPr="004F564F">
        <w:rPr>
          <w:lang w:val="pl-PL"/>
        </w:rPr>
        <w:t>W 2018 r. zielona gospodarka dogoniła przemysł paliw kopalnych i jest teraz warta około 4 trylionów USD, przy czym większość wartości pochodzi z czystej energii, większej wydajności energetycznej, oraz usług związanych z wodą, odpadami oraz  zanieczyszczeniami. Według ONZ, jeśli obecny kurs zostanie utrzymany, zielona gospodarka może stanowić około 10% wartości rynku światowego do 2030 r.</w:t>
      </w:r>
    </w:p>
    <w:p w14:paraId="5CBF8B4D" w14:textId="77777777" w:rsidR="00C24A2E" w:rsidRPr="004F564F" w:rsidRDefault="00C24A2E" w:rsidP="00C24A2E">
      <w:pPr>
        <w:rPr>
          <w:lang w:val="pl-PL"/>
        </w:rPr>
      </w:pPr>
    </w:p>
    <w:p w14:paraId="3B500162" w14:textId="77777777" w:rsidR="00C24A2E" w:rsidRPr="004F564F" w:rsidRDefault="00C24A2E">
      <w:pPr>
        <w:rPr>
          <w:lang w:val="pl-PL"/>
        </w:rPr>
      </w:pPr>
      <w:r w:rsidRPr="004F564F">
        <w:rPr>
          <w:lang w:val="pl-PL"/>
        </w:rPr>
        <w:br w:type="page"/>
      </w:r>
    </w:p>
    <w:p w14:paraId="0751E279" w14:textId="77777777" w:rsidR="00C24A2E" w:rsidRPr="004F564F" w:rsidRDefault="00C24A2E" w:rsidP="00C24A2E">
      <w:pPr>
        <w:rPr>
          <w:lang w:val="pl-PL"/>
        </w:rPr>
      </w:pPr>
      <w:r w:rsidRPr="004F564F">
        <w:rPr>
          <w:lang w:val="pl-PL"/>
        </w:rPr>
        <w:lastRenderedPageBreak/>
        <w:t>SLAJD 3</w:t>
      </w:r>
    </w:p>
    <w:p w14:paraId="6B69F593" w14:textId="77777777" w:rsidR="00C24A2E" w:rsidRPr="004F564F" w:rsidRDefault="00C24A2E" w:rsidP="00C24A2E">
      <w:pPr>
        <w:rPr>
          <w:lang w:val="pl-PL"/>
        </w:rPr>
      </w:pPr>
      <w:r w:rsidRPr="004F564F">
        <w:rPr>
          <w:lang w:val="pl-PL"/>
        </w:rPr>
        <w:t>Wprowadzenie</w:t>
      </w:r>
    </w:p>
    <w:p w14:paraId="5AFEFC64" w14:textId="77777777" w:rsidR="00C24A2E" w:rsidRPr="004F564F" w:rsidRDefault="00C24A2E" w:rsidP="00C24A2E">
      <w:pPr>
        <w:rPr>
          <w:lang w:val="pl-PL"/>
        </w:rPr>
      </w:pPr>
    </w:p>
    <w:p w14:paraId="03256911" w14:textId="77777777" w:rsidR="00165BCE" w:rsidRPr="004F564F" w:rsidRDefault="00C24A2E" w:rsidP="00C24A2E">
      <w:pPr>
        <w:rPr>
          <w:lang w:val="pl-PL"/>
        </w:rPr>
      </w:pPr>
      <w:r w:rsidRPr="004F564F">
        <w:rPr>
          <w:lang w:val="pl-PL"/>
        </w:rPr>
        <w:t>Zielone miejsca pracy są związane z  wdrażaniem procesów produkcyjnych oraz zmianą wydajności produktów i usług, w sposób mający pozytywny wpływ na środowisko.</w:t>
      </w:r>
    </w:p>
    <w:p w14:paraId="4D3C5165" w14:textId="77777777" w:rsidR="00165BCE" w:rsidRPr="004F564F" w:rsidRDefault="00165BCE" w:rsidP="00165BCE">
      <w:pPr>
        <w:rPr>
          <w:lang w:val="pl-PL"/>
        </w:rPr>
      </w:pPr>
      <w:r w:rsidRPr="004F564F">
        <w:rPr>
          <w:noProof/>
          <w:lang w:eastAsia="en-GB"/>
        </w:rPr>
        <w:drawing>
          <wp:anchor distT="0" distB="0" distL="114300" distR="114300" simplePos="0" relativeHeight="251800576" behindDoc="0" locked="0" layoutInCell="1" allowOverlap="1" wp14:anchorId="18EF241C" wp14:editId="2948F95A">
            <wp:simplePos x="0" y="0"/>
            <wp:positionH relativeFrom="page">
              <wp:posOffset>3872119</wp:posOffset>
            </wp:positionH>
            <wp:positionV relativeFrom="paragraph">
              <wp:posOffset>8862</wp:posOffset>
            </wp:positionV>
            <wp:extent cx="3808674" cy="2112120"/>
            <wp:effectExtent l="0" t="0" r="1905" b="2540"/>
            <wp:wrapNone/>
            <wp:docPr id="5" name="Chart 74">
              <a:extLst xmlns:a="http://schemas.openxmlformats.org/drawingml/2006/main">
                <a:ext uri="{FF2B5EF4-FFF2-40B4-BE49-F238E27FC236}">
                  <a16:creationId xmlns:a16="http://schemas.microsoft.com/office/drawing/2014/main" id="{0AFCA49A-14EF-4865-BC22-6BB432F39C8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14:sizeRelH relativeFrom="margin">
              <wp14:pctWidth>0</wp14:pctWidth>
            </wp14:sizeRelH>
            <wp14:sizeRelV relativeFrom="margin">
              <wp14:pctHeight>0</wp14:pctHeight>
            </wp14:sizeRelV>
          </wp:anchor>
        </w:drawing>
      </w:r>
    </w:p>
    <w:p w14:paraId="1E0B6D95" w14:textId="77777777" w:rsidR="00165BCE" w:rsidRPr="004F564F" w:rsidRDefault="00165BCE" w:rsidP="00165BCE">
      <w:pPr>
        <w:rPr>
          <w:lang w:val="pl-PL"/>
        </w:rPr>
      </w:pPr>
      <w:r w:rsidRPr="004F564F">
        <w:rPr>
          <w:lang w:val="pl-PL"/>
        </w:rPr>
        <w:t>Najszybciej rozwijające się zielone miejsca pracy:</w:t>
      </w:r>
    </w:p>
    <w:p w14:paraId="3777A819" w14:textId="77777777" w:rsidR="00165BCE" w:rsidRPr="004F564F" w:rsidRDefault="00165BCE" w:rsidP="00165BCE">
      <w:pPr>
        <w:rPr>
          <w:lang w:val="pl-PL"/>
        </w:rPr>
      </w:pPr>
      <w:r w:rsidRPr="004F564F">
        <w:rPr>
          <w:lang w:val="pl-PL"/>
        </w:rPr>
        <w:t>1) Plantator miejski</w:t>
      </w:r>
    </w:p>
    <w:p w14:paraId="04789F0D" w14:textId="77777777" w:rsidR="00165BCE" w:rsidRPr="004F564F" w:rsidRDefault="00165BCE" w:rsidP="00165BCE">
      <w:pPr>
        <w:rPr>
          <w:lang w:val="pl-PL"/>
        </w:rPr>
      </w:pPr>
      <w:r w:rsidRPr="004F564F">
        <w:rPr>
          <w:lang w:val="pl-PL"/>
        </w:rPr>
        <w:t>2) Inżynierowie samochodów elektrycznych</w:t>
      </w:r>
    </w:p>
    <w:p w14:paraId="227A72A4" w14:textId="77777777" w:rsidR="00165BCE" w:rsidRPr="004F564F" w:rsidRDefault="00165BCE" w:rsidP="00165BCE">
      <w:pPr>
        <w:rPr>
          <w:lang w:val="pl-PL"/>
        </w:rPr>
      </w:pPr>
      <w:r w:rsidRPr="004F564F">
        <w:rPr>
          <w:lang w:val="pl-PL"/>
        </w:rPr>
        <w:t>3) Technicy jakości wody</w:t>
      </w:r>
    </w:p>
    <w:p w14:paraId="4E8CCAE7" w14:textId="77777777" w:rsidR="00165BCE" w:rsidRPr="004F564F" w:rsidRDefault="00165BCE" w:rsidP="00165BCE">
      <w:pPr>
        <w:rPr>
          <w:lang w:val="pl-PL"/>
        </w:rPr>
      </w:pPr>
      <w:r w:rsidRPr="004F564F">
        <w:rPr>
          <w:lang w:val="pl-PL"/>
        </w:rPr>
        <w:t>4) Przyrodnicy</w:t>
      </w:r>
    </w:p>
    <w:p w14:paraId="0A50EB25" w14:textId="77777777" w:rsidR="00165BCE" w:rsidRPr="004F564F" w:rsidRDefault="00165BCE" w:rsidP="00165BCE">
      <w:pPr>
        <w:rPr>
          <w:lang w:val="pl-PL"/>
        </w:rPr>
      </w:pPr>
      <w:r w:rsidRPr="004F564F">
        <w:rPr>
          <w:lang w:val="pl-PL"/>
        </w:rPr>
        <w:t>5) Zieleni budowniczowie</w:t>
      </w:r>
    </w:p>
    <w:p w14:paraId="5D599B25" w14:textId="77777777" w:rsidR="00165BCE" w:rsidRPr="004F564F" w:rsidRDefault="00165BCE" w:rsidP="00165BCE">
      <w:pPr>
        <w:rPr>
          <w:lang w:val="pl-PL"/>
        </w:rPr>
      </w:pPr>
      <w:r w:rsidRPr="004F564F">
        <w:rPr>
          <w:noProof/>
          <w:lang w:eastAsia="en-GB"/>
        </w:rPr>
        <mc:AlternateContent>
          <mc:Choice Requires="wps">
            <w:drawing>
              <wp:anchor distT="0" distB="0" distL="114300" distR="114300" simplePos="0" relativeHeight="251808768" behindDoc="0" locked="0" layoutInCell="1" allowOverlap="1" wp14:anchorId="6F92A77E" wp14:editId="683076A5">
                <wp:simplePos x="0" y="0"/>
                <wp:positionH relativeFrom="column">
                  <wp:posOffset>3029806</wp:posOffset>
                </wp:positionH>
                <wp:positionV relativeFrom="paragraph">
                  <wp:posOffset>9221</wp:posOffset>
                </wp:positionV>
                <wp:extent cx="3342005" cy="635"/>
                <wp:effectExtent l="0" t="0" r="0" b="0"/>
                <wp:wrapNone/>
                <wp:docPr id="12" name="Text Box 6"/>
                <wp:cNvGraphicFramePr/>
                <a:graphic xmlns:a="http://schemas.openxmlformats.org/drawingml/2006/main">
                  <a:graphicData uri="http://schemas.microsoft.com/office/word/2010/wordprocessingShape">
                    <wps:wsp>
                      <wps:cNvSpPr txBox="1"/>
                      <wps:spPr>
                        <a:xfrm>
                          <a:off x="0" y="0"/>
                          <a:ext cx="3342005" cy="635"/>
                        </a:xfrm>
                        <a:prstGeom prst="rect">
                          <a:avLst/>
                        </a:prstGeom>
                        <a:solidFill>
                          <a:prstClr val="white"/>
                        </a:solidFill>
                        <a:ln>
                          <a:noFill/>
                        </a:ln>
                      </wps:spPr>
                      <wps:txbx>
                        <w:txbxContent>
                          <w:p w14:paraId="55219D03" w14:textId="4E1C87E6" w:rsidR="00165BCE" w:rsidRDefault="00165BCE" w:rsidP="00165BCE">
                            <w:pPr>
                              <w:pStyle w:val="Legenda"/>
                              <w:spacing w:after="0"/>
                            </w:pPr>
                            <w:r>
                              <w:t xml:space="preserve">Figure </w:t>
                            </w:r>
                            <w:r>
                              <w:fldChar w:fldCharType="begin"/>
                            </w:r>
                            <w:r>
                              <w:instrText xml:space="preserve"> SEQ Figure \* ARABIC </w:instrText>
                            </w:r>
                            <w:r>
                              <w:fldChar w:fldCharType="separate"/>
                            </w:r>
                            <w:r w:rsidR="00263611">
                              <w:rPr>
                                <w:noProof/>
                              </w:rPr>
                              <w:t>1</w:t>
                            </w:r>
                            <w:r>
                              <w:fldChar w:fldCharType="end"/>
                            </w:r>
                            <w:r>
                              <w:t>. Green economy by sector</w:t>
                            </w:r>
                          </w:p>
                          <w:p w14:paraId="05916D3D" w14:textId="77777777" w:rsidR="00165BCE" w:rsidRPr="000D372E" w:rsidRDefault="00165BCE" w:rsidP="00165BCE">
                            <w:pPr>
                              <w:spacing w:after="0"/>
                              <w:rPr>
                                <w:i/>
                                <w:iCs/>
                                <w:color w:val="44546A" w:themeColor="text2"/>
                                <w:sz w:val="18"/>
                                <w:szCs w:val="18"/>
                              </w:rPr>
                            </w:pPr>
                            <w:r w:rsidRPr="000D372E">
                              <w:rPr>
                                <w:i/>
                                <w:iCs/>
                                <w:color w:val="44546A" w:themeColor="text2"/>
                                <w:sz w:val="18"/>
                                <w:szCs w:val="18"/>
                              </w:rPr>
                              <w:t>Source: FTSE Russell, data as of December 2017</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6F92A77E" id="_x0000_t202" coordsize="21600,21600" o:spt="202" path="m,l,21600r21600,l21600,xe">
                <v:stroke joinstyle="miter"/>
                <v:path gradientshapeok="t" o:connecttype="rect"/>
              </v:shapetype>
              <v:shape id="Text Box 6" o:spid="_x0000_s1026" type="#_x0000_t202" style="position:absolute;margin-left:238.55pt;margin-top:.75pt;width:263.15pt;height:.05pt;z-index:2518087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" stroked="f">
                <v:textbox style="mso-fit-shape-to-text:t" inset="0,0,0,0">
                  <w:txbxContent>
                    <w:p w14:paraId="55219D03" w14:textId="4E1C87E6" w:rsidR="00165BCE" w:rsidRDefault="00165BCE" w:rsidP="00165BCE">
                      <w:pPr>
                        <w:pStyle w:val="Legenda"/>
                        <w:spacing w:after="0"/>
                      </w:pPr>
                      <w:r>
                        <w:t xml:space="preserve">Figure </w:t>
                      </w:r>
                      <w:r>
                        <w:fldChar w:fldCharType="begin"/>
                      </w:r>
                      <w:r>
                        <w:instrText xml:space="preserve"> SEQ Figure \* ARABIC </w:instrText>
                      </w:r>
                      <w:r>
                        <w:fldChar w:fldCharType="separate"/>
                      </w:r>
                      <w:r w:rsidR="00263611">
                        <w:rPr>
                          <w:noProof/>
                        </w:rPr>
                        <w:t>1</w:t>
                      </w:r>
                      <w:r>
                        <w:fldChar w:fldCharType="end"/>
                      </w:r>
                      <w:r>
                        <w:t>. Green economy by sector</w:t>
                      </w:r>
                    </w:p>
                    <w:p w14:paraId="05916D3D" w14:textId="77777777" w:rsidR="00165BCE" w:rsidRPr="000D372E" w:rsidRDefault="00165BCE" w:rsidP="00165BCE">
                      <w:pPr>
                        <w:spacing w:after="0"/>
                        <w:rPr>
                          <w:i/>
                          <w:iCs/>
                          <w:color w:val="44546A" w:themeColor="text2"/>
                          <w:sz w:val="18"/>
                          <w:szCs w:val="18"/>
                        </w:rPr>
                      </w:pPr>
                      <w:r w:rsidRPr="000D372E">
                        <w:rPr>
                          <w:i/>
                          <w:iCs/>
                          <w:color w:val="44546A" w:themeColor="text2"/>
                          <w:sz w:val="18"/>
                          <w:szCs w:val="18"/>
                        </w:rPr>
                        <w:t>Source: FTSE Russell, data as of December 2017</w:t>
                      </w:r>
                    </w:p>
                  </w:txbxContent>
                </v:textbox>
              </v:shape>
            </w:pict>
          </mc:Fallback>
        </mc:AlternateContent>
      </w:r>
      <w:r w:rsidRPr="004F564F">
        <w:rPr>
          <w:lang w:val="pl-PL"/>
        </w:rPr>
        <w:t>6) Ekoedukatorzy</w:t>
      </w:r>
    </w:p>
    <w:p w14:paraId="51A1B6D4" w14:textId="77777777" w:rsidR="008E48CE" w:rsidRPr="004F564F" w:rsidRDefault="00165BCE" w:rsidP="00165BCE">
      <w:pPr>
        <w:rPr>
          <w:lang w:val="pl-PL"/>
        </w:rPr>
      </w:pPr>
      <w:r w:rsidRPr="004F564F">
        <w:rPr>
          <w:lang w:val="pl-PL"/>
        </w:rPr>
        <w:t>7) Specjaliści od zielonego designu</w:t>
      </w:r>
      <w:r w:rsidR="008E48CE" w:rsidRPr="004F564F">
        <w:rPr>
          <w:lang w:val="pl-PL"/>
        </w:rPr>
        <w:br w:type="page"/>
      </w:r>
    </w:p>
    <w:p w14:paraId="43EFBB6E" w14:textId="77777777" w:rsidR="00165BCE" w:rsidRPr="004F564F" w:rsidRDefault="00165BCE" w:rsidP="00165BCE">
      <w:pPr>
        <w:rPr>
          <w:lang w:val="pl-PL"/>
        </w:rPr>
      </w:pPr>
      <w:r w:rsidRPr="004F564F">
        <w:rPr>
          <w:lang w:val="pl-PL"/>
        </w:rPr>
        <w:lastRenderedPageBreak/>
        <w:t>SLAJD 4</w:t>
      </w:r>
    </w:p>
    <w:p w14:paraId="5EF651B0" w14:textId="77777777" w:rsidR="00165BCE" w:rsidRPr="004F564F" w:rsidRDefault="00165BCE" w:rsidP="00165BCE">
      <w:pPr>
        <w:rPr>
          <w:lang w:val="pl-PL"/>
        </w:rPr>
      </w:pPr>
      <w:r w:rsidRPr="004F564F">
        <w:rPr>
          <w:lang w:val="pl-PL"/>
        </w:rPr>
        <w:t>Wprowadzenie</w:t>
      </w:r>
    </w:p>
    <w:p w14:paraId="2AA8A7E7" w14:textId="77777777" w:rsidR="00165BCE" w:rsidRPr="004F564F" w:rsidRDefault="00165BCE" w:rsidP="00165BCE">
      <w:pPr>
        <w:rPr>
          <w:lang w:val="pl-PL"/>
        </w:rPr>
      </w:pPr>
      <w:r w:rsidRPr="004F564F">
        <w:rPr>
          <w:lang w:val="pl-PL"/>
        </w:rPr>
        <w:t>Po ukończeniu tego kursu kandydat / student powinien zdobyć ogólną wiedzę na temat zielonej gospodarki oraz możliwości, jakie oferuje zarówno przedsiębiorstwom, jak i całemu społeczeństwu. Ten moduł zawiera 4 lekcje:</w:t>
      </w:r>
    </w:p>
    <w:p w14:paraId="233E1007" w14:textId="77777777" w:rsidR="00165BCE" w:rsidRPr="004F564F" w:rsidRDefault="00165BCE" w:rsidP="00165BCE">
      <w:pPr>
        <w:rPr>
          <w:lang w:val="pl-PL"/>
        </w:rPr>
      </w:pPr>
      <w:r w:rsidRPr="004F564F">
        <w:rPr>
          <w:lang w:val="pl-PL"/>
        </w:rPr>
        <w:t>• LO1: Energia odnawialna – zarys ogólny</w:t>
      </w:r>
    </w:p>
    <w:p w14:paraId="1EF99E7B" w14:textId="77777777" w:rsidR="00165BCE" w:rsidRPr="004F564F" w:rsidRDefault="00165BCE" w:rsidP="00165BCE">
      <w:pPr>
        <w:rPr>
          <w:lang w:val="pl-PL"/>
        </w:rPr>
      </w:pPr>
      <w:r w:rsidRPr="004F564F">
        <w:rPr>
          <w:lang w:val="pl-PL"/>
        </w:rPr>
        <w:t>• LO2: Efektywne wykorzystanie zasobów</w:t>
      </w:r>
    </w:p>
    <w:p w14:paraId="6941A887" w14:textId="77777777" w:rsidR="00165BCE" w:rsidRPr="004F564F" w:rsidRDefault="00165BCE" w:rsidP="00165BCE">
      <w:pPr>
        <w:rPr>
          <w:lang w:val="pl-PL"/>
        </w:rPr>
      </w:pPr>
      <w:r w:rsidRPr="004F564F">
        <w:rPr>
          <w:lang w:val="pl-PL"/>
        </w:rPr>
        <w:t>• LO3: Cele zrównoważonego rozwoju</w:t>
      </w:r>
    </w:p>
    <w:p w14:paraId="16EB26B3" w14:textId="77777777" w:rsidR="00165BCE" w:rsidRPr="004F564F" w:rsidRDefault="00165BCE" w:rsidP="00165BCE">
      <w:pPr>
        <w:rPr>
          <w:lang w:val="pl-PL"/>
        </w:rPr>
      </w:pPr>
      <w:r w:rsidRPr="004F564F">
        <w:rPr>
          <w:lang w:val="pl-PL"/>
        </w:rPr>
        <w:t>• LO4: Ekologiczne podejście w biznesie</w:t>
      </w:r>
    </w:p>
    <w:p w14:paraId="56386AD5" w14:textId="77777777" w:rsidR="00165BCE" w:rsidRPr="004F564F" w:rsidRDefault="00165BCE" w:rsidP="00165BCE">
      <w:pPr>
        <w:rPr>
          <w:lang w:val="pl-PL"/>
        </w:rPr>
      </w:pPr>
    </w:p>
    <w:p w14:paraId="4D6743FF" w14:textId="77777777" w:rsidR="00165BCE" w:rsidRPr="004F564F" w:rsidRDefault="00165BCE" w:rsidP="00165BCE">
      <w:pPr>
        <w:rPr>
          <w:lang w:val="pl-PL"/>
        </w:rPr>
      </w:pPr>
      <w:r w:rsidRPr="004F564F">
        <w:rPr>
          <w:lang w:val="pl-PL"/>
        </w:rPr>
        <w:t>LO1: Energia odnawialna – zarys ogólny</w:t>
      </w:r>
    </w:p>
    <w:p w14:paraId="0DA86694" w14:textId="77777777" w:rsidR="00165BCE" w:rsidRPr="004F564F" w:rsidRDefault="00165BCE" w:rsidP="00165BCE">
      <w:pPr>
        <w:rPr>
          <w:lang w:val="pl-PL"/>
        </w:rPr>
      </w:pPr>
      <w:r w:rsidRPr="004F564F">
        <w:rPr>
          <w:lang w:val="pl-PL"/>
        </w:rPr>
        <w:t>SLAJD 1</w:t>
      </w:r>
    </w:p>
    <w:p w14:paraId="1074068C" w14:textId="77777777" w:rsidR="00165BCE" w:rsidRPr="004F564F" w:rsidRDefault="00165BCE" w:rsidP="00165BCE">
      <w:pPr>
        <w:rPr>
          <w:lang w:val="pl-PL"/>
        </w:rPr>
      </w:pPr>
      <w:r w:rsidRPr="004F564F">
        <w:rPr>
          <w:lang w:val="pl-PL"/>
        </w:rPr>
        <w:t>Wprowadzenie do energii odnawialnej</w:t>
      </w:r>
    </w:p>
    <w:p w14:paraId="4E2BE6F9" w14:textId="77777777" w:rsidR="00165BCE" w:rsidRPr="004F564F" w:rsidRDefault="00165BCE" w:rsidP="00165BCE">
      <w:pPr>
        <w:rPr>
          <w:lang w:val="pl-PL"/>
        </w:rPr>
      </w:pPr>
      <w:r w:rsidRPr="004F564F">
        <w:rPr>
          <w:lang w:val="pl-PL"/>
        </w:rPr>
        <w:t>Od 2010 r. udział zużycia i wytwarzania energii odnawialnej rośnie o 0,7 p.p. zgodnie z raportem SDG Energy Indicator. W 2017 r. energia odnawialna stanowiła ponad 24% całkowitego zużycia energii na całym świecie. Zdecydowanie wiodącym regionem jest Azja z prawie 40% udziałem.</w:t>
      </w:r>
    </w:p>
    <w:p w14:paraId="0548CE8E" w14:textId="77777777" w:rsidR="00165BCE" w:rsidRPr="004F564F" w:rsidRDefault="00165BCE" w:rsidP="00165BCE">
      <w:pPr>
        <w:rPr>
          <w:lang w:val="pl-PL"/>
        </w:rPr>
      </w:pPr>
    </w:p>
    <w:p w14:paraId="5528C6DF" w14:textId="77777777" w:rsidR="00165BCE" w:rsidRPr="004F564F" w:rsidRDefault="00165BCE" w:rsidP="00165BCE">
      <w:pPr>
        <w:rPr>
          <w:lang w:val="pl-PL"/>
        </w:rPr>
      </w:pPr>
      <w:r w:rsidRPr="004F564F">
        <w:rPr>
          <w:lang w:val="pl-PL"/>
        </w:rPr>
        <w:t>Istnieje kilka czynników, które kształtują sposób i miejsce generowania zatrudnienia w branży energii odnawialnej. Najczęstsze to:</w:t>
      </w:r>
    </w:p>
    <w:p w14:paraId="18623613" w14:textId="77777777" w:rsidR="00165BCE" w:rsidRPr="004F564F" w:rsidRDefault="00165BCE" w:rsidP="00165BCE">
      <w:pPr>
        <w:rPr>
          <w:lang w:val="pl-PL"/>
        </w:rPr>
      </w:pPr>
      <w:r w:rsidRPr="004F564F">
        <w:rPr>
          <w:lang w:val="pl-PL"/>
        </w:rPr>
        <w:t>•Polityka rządu</w:t>
      </w:r>
    </w:p>
    <w:p w14:paraId="0AC1414F" w14:textId="77777777" w:rsidR="00165BCE" w:rsidRPr="004F564F" w:rsidRDefault="00165BCE" w:rsidP="00165BCE">
      <w:pPr>
        <w:rPr>
          <w:lang w:val="pl-PL"/>
        </w:rPr>
      </w:pPr>
      <w:r w:rsidRPr="004F564F">
        <w:rPr>
          <w:lang w:val="pl-PL"/>
        </w:rPr>
        <w:t>• Wzorce handlu</w:t>
      </w:r>
    </w:p>
    <w:p w14:paraId="32F33556" w14:textId="6006D7DE" w:rsidR="00165BCE" w:rsidRPr="004F564F" w:rsidRDefault="00165BCE" w:rsidP="00165BCE">
      <w:pPr>
        <w:rPr>
          <w:lang w:val="pl-PL"/>
        </w:rPr>
      </w:pPr>
      <w:r w:rsidRPr="004F564F">
        <w:rPr>
          <w:lang w:val="pl-PL"/>
        </w:rPr>
        <w:t>• Reorganizacja branży</w:t>
      </w:r>
    </w:p>
    <w:p w14:paraId="37520294" w14:textId="7F52518D" w:rsidR="00165BCE" w:rsidRPr="004F564F" w:rsidRDefault="00165BCE" w:rsidP="00165BCE">
      <w:pPr>
        <w:rPr>
          <w:lang w:val="pl-PL"/>
        </w:rPr>
      </w:pPr>
      <w:r w:rsidRPr="004F564F">
        <w:rPr>
          <w:lang w:val="pl-PL"/>
        </w:rPr>
        <w:t>• Trendy konsolidacyjne</w:t>
      </w:r>
    </w:p>
    <w:p w14:paraId="6039B58A" w14:textId="01944BB3" w:rsidR="006B4948" w:rsidRPr="004F564F" w:rsidRDefault="004F564F" w:rsidP="00165BCE">
      <w:pPr>
        <w:rPr>
          <w:lang w:val="pl-PL"/>
        </w:rPr>
      </w:pPr>
      <w:r w:rsidRPr="004F564F">
        <w:rPr>
          <w:noProof/>
          <w:lang w:eastAsia="en-GB"/>
        </w:rPr>
        <w:drawing>
          <wp:anchor distT="0" distB="0" distL="114300" distR="114300" simplePos="0" relativeHeight="251802624" behindDoc="0" locked="0" layoutInCell="1" allowOverlap="1" wp14:anchorId="4EC259F3" wp14:editId="0FFE722B">
            <wp:simplePos x="0" y="0"/>
            <wp:positionH relativeFrom="column">
              <wp:posOffset>699770</wp:posOffset>
            </wp:positionH>
            <wp:positionV relativeFrom="paragraph">
              <wp:posOffset>95885</wp:posOffset>
            </wp:positionV>
            <wp:extent cx="4172585" cy="2383155"/>
            <wp:effectExtent l="0" t="0" r="0" b="0"/>
            <wp:wrapThrough wrapText="bothSides">
              <wp:wrapPolygon edited="0">
                <wp:start x="0" y="0"/>
                <wp:lineTo x="0" y="21410"/>
                <wp:lineTo x="21498" y="21410"/>
                <wp:lineTo x="21498" y="0"/>
                <wp:lineTo x="0" y="0"/>
              </wp:wrapPolygon>
            </wp:wrapThrough>
            <wp:docPr id="7" name="Chart 67">
              <a:extLst xmlns:a="http://schemas.openxmlformats.org/drawingml/2006/main">
                <a:ext uri="{FF2B5EF4-FFF2-40B4-BE49-F238E27FC236}">
                  <a16:creationId xmlns:a16="http://schemas.microsoft.com/office/drawing/2014/main" id="{7A0420FF-4061-45DE-8F2A-7F65C8EB2EF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14:sizeRelH relativeFrom="margin">
              <wp14:pctWidth>0</wp14:pctWidth>
            </wp14:sizeRelH>
            <wp14:sizeRelV relativeFrom="margin">
              <wp14:pctHeight>0</wp14:pctHeight>
            </wp14:sizeRelV>
          </wp:anchor>
        </w:drawing>
      </w:r>
      <w:r w:rsidR="00165BCE" w:rsidRPr="004F564F">
        <w:rPr>
          <w:noProof/>
          <w:lang w:eastAsia="en-GB"/>
        </w:rPr>
        <mc:AlternateContent>
          <mc:Choice Requires="wps">
            <w:drawing>
              <wp:anchor distT="0" distB="0" distL="114300" distR="114300" simplePos="0" relativeHeight="251804672" behindDoc="0" locked="0" layoutInCell="1" allowOverlap="1" wp14:anchorId="26448B1C" wp14:editId="6BC5C069">
                <wp:simplePos x="0" y="0"/>
                <wp:positionH relativeFrom="margin">
                  <wp:align>center</wp:align>
                </wp:positionH>
                <wp:positionV relativeFrom="bottomMargin">
                  <wp:align>top</wp:align>
                </wp:positionV>
                <wp:extent cx="3801110" cy="290195"/>
                <wp:effectExtent l="0" t="0" r="8890" b="0"/>
                <wp:wrapNone/>
                <wp:docPr id="9" name="Text Box 8"/>
                <wp:cNvGraphicFramePr/>
                <a:graphic xmlns:a="http://schemas.openxmlformats.org/drawingml/2006/main">
                  <a:graphicData uri="http://schemas.microsoft.com/office/word/2010/wordprocessingShape">
                    <wps:wsp>
                      <wps:cNvSpPr txBox="1"/>
                      <wps:spPr>
                        <a:xfrm>
                          <a:off x="0" y="0"/>
                          <a:ext cx="3801110" cy="290195"/>
                        </a:xfrm>
                        <a:prstGeom prst="rect">
                          <a:avLst/>
                        </a:prstGeom>
                        <a:solidFill>
                          <a:prstClr val="white"/>
                        </a:solidFill>
                        <a:ln>
                          <a:noFill/>
                        </a:ln>
                      </wps:spPr>
                      <wps:txbx>
                        <w:txbxContent>
                          <w:p w14:paraId="3D362AF3" w14:textId="03FDCC61" w:rsidR="00165BCE" w:rsidRDefault="00165BCE" w:rsidP="00165BCE">
                            <w:pPr>
                              <w:pStyle w:val="Legenda"/>
                              <w:spacing w:after="0"/>
                            </w:pPr>
                            <w:r>
                              <w:t xml:space="preserve">Figure </w:t>
                            </w:r>
                            <w:r>
                              <w:fldChar w:fldCharType="begin"/>
                            </w:r>
                            <w:r>
                              <w:instrText xml:space="preserve"> SEQ Figure \* ARABIC </w:instrText>
                            </w:r>
                            <w:r>
                              <w:fldChar w:fldCharType="separate"/>
                            </w:r>
                            <w:r w:rsidR="00263611">
                              <w:rPr>
                                <w:noProof/>
                              </w:rPr>
                              <w:t>2</w:t>
                            </w:r>
                            <w:r>
                              <w:fldChar w:fldCharType="end"/>
                            </w:r>
                            <w:r>
                              <w:t>. Employment in renewable energy sector</w:t>
                            </w:r>
                          </w:p>
                          <w:p w14:paraId="621A9194" w14:textId="77777777" w:rsidR="00165BCE" w:rsidRPr="000D372E" w:rsidRDefault="00165BCE" w:rsidP="00165BCE">
                            <w:pPr>
                              <w:spacing w:after="0"/>
                              <w:rPr>
                                <w:i/>
                                <w:iCs/>
                                <w:color w:val="44546A" w:themeColor="text2"/>
                                <w:sz w:val="18"/>
                                <w:szCs w:val="18"/>
                              </w:rPr>
                            </w:pPr>
                            <w:r w:rsidRPr="000D372E">
                              <w:rPr>
                                <w:i/>
                                <w:iCs/>
                                <w:color w:val="44546A" w:themeColor="text2"/>
                                <w:sz w:val="18"/>
                                <w:szCs w:val="18"/>
                              </w:rPr>
                              <w:t xml:space="preserve">Source: IRENA jobs database </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26448B1C" id="Text Box 8" o:spid="_x0000_s1027" type="#_x0000_t202" style="position:absolute;margin-left:0;margin-top:0;width:299.3pt;height:22.85pt;z-index:251804672;visibility:visible;mso-wrap-style:square;mso-wrap-distance-left:9pt;mso-wrap-distance-top:0;mso-wrap-distance-right:9pt;mso-wrap-distance-bottom:0;mso-position-horizontal:center;mso-position-horizontal-relative:margin;mso-position-vertical:top;mso-position-vertical-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" stroked="f">
                <v:textbox style="mso-fit-shape-to-text:t" inset="0,0,0,0">
                  <w:txbxContent>
                    <w:p w14:paraId="3D362AF3" w14:textId="03FDCC61" w:rsidR="00165BCE" w:rsidRDefault="00165BCE" w:rsidP="00165BCE">
                      <w:pPr>
                        <w:pStyle w:val="Legenda"/>
                        <w:spacing w:after="0"/>
                      </w:pPr>
                      <w:r>
                        <w:t xml:space="preserve">Figure </w:t>
                      </w:r>
                      <w:r>
                        <w:fldChar w:fldCharType="begin"/>
                      </w:r>
                      <w:r>
                        <w:instrText xml:space="preserve"> SEQ Figure \* ARABIC </w:instrText>
                      </w:r>
                      <w:r>
                        <w:fldChar w:fldCharType="separate"/>
                      </w:r>
                      <w:r w:rsidR="00263611">
                        <w:rPr>
                          <w:noProof/>
                        </w:rPr>
                        <w:t>2</w:t>
                      </w:r>
                      <w:r>
                        <w:fldChar w:fldCharType="end"/>
                      </w:r>
                      <w:r>
                        <w:t>. Employment in renewable energy sector</w:t>
                      </w:r>
                    </w:p>
                    <w:p w14:paraId="621A9194" w14:textId="77777777" w:rsidR="00165BCE" w:rsidRPr="000D372E" w:rsidRDefault="00165BCE" w:rsidP="00165BCE">
                      <w:pPr>
                        <w:spacing w:after="0"/>
                        <w:rPr>
                          <w:i/>
                          <w:iCs/>
                          <w:color w:val="44546A" w:themeColor="text2"/>
                          <w:sz w:val="18"/>
                          <w:szCs w:val="18"/>
                        </w:rPr>
                      </w:pPr>
                      <w:r w:rsidRPr="000D372E">
                        <w:rPr>
                          <w:i/>
                          <w:iCs/>
                          <w:color w:val="44546A" w:themeColor="text2"/>
                          <w:sz w:val="18"/>
                          <w:szCs w:val="18"/>
                        </w:rPr>
                        <w:t xml:space="preserve">Source: IRENA jobs database </w:t>
                      </w:r>
                    </w:p>
                  </w:txbxContent>
                </v:textbox>
                <w10:wrap anchorx="margin" anchory="margin"/>
              </v:shape>
            </w:pict>
          </mc:Fallback>
        </mc:AlternateContent>
      </w:r>
      <w:r w:rsidR="008E48CE" w:rsidRPr="004F564F">
        <w:rPr>
          <w:lang w:val="pl-PL"/>
        </w:rPr>
        <w:br w:type="page"/>
      </w:r>
    </w:p>
    <w:p w14:paraId="20F65DCE" w14:textId="77777777" w:rsidR="00165BCE" w:rsidRPr="004F564F" w:rsidRDefault="00165BCE" w:rsidP="00165BCE">
      <w:pPr>
        <w:rPr>
          <w:sz w:val="20"/>
        </w:rPr>
      </w:pPr>
    </w:p>
    <w:p w14:paraId="2679662E" w14:textId="77777777" w:rsidR="00165BCE" w:rsidRPr="004F564F" w:rsidRDefault="00165BCE" w:rsidP="00165BCE">
      <w:pPr>
        <w:rPr>
          <w:sz w:val="20"/>
          <w:lang w:val="pl-PL"/>
        </w:rPr>
      </w:pPr>
      <w:r w:rsidRPr="004F564F">
        <w:rPr>
          <w:sz w:val="20"/>
          <w:lang w:val="pl-PL"/>
        </w:rPr>
        <w:t>SLAJD 2</w:t>
      </w:r>
    </w:p>
    <w:p w14:paraId="1A51AAFC" w14:textId="77777777" w:rsidR="00165BCE" w:rsidRPr="004F564F" w:rsidRDefault="00165BCE" w:rsidP="00165BCE">
      <w:pPr>
        <w:rPr>
          <w:sz w:val="20"/>
          <w:lang w:val="pl-PL"/>
        </w:rPr>
      </w:pPr>
      <w:r w:rsidRPr="004F564F">
        <w:rPr>
          <w:sz w:val="20"/>
          <w:lang w:val="pl-PL"/>
        </w:rPr>
        <w:t xml:space="preserve">Energia wodna </w:t>
      </w:r>
    </w:p>
    <w:p w14:paraId="4A1948D5" w14:textId="77777777" w:rsidR="00165BCE" w:rsidRPr="004F564F" w:rsidRDefault="00165BCE" w:rsidP="00165BCE">
      <w:pPr>
        <w:rPr>
          <w:sz w:val="20"/>
          <w:lang w:val="pl-PL"/>
        </w:rPr>
      </w:pPr>
      <w:r w:rsidRPr="004F564F">
        <w:rPr>
          <w:sz w:val="20"/>
          <w:lang w:val="pl-PL"/>
        </w:rPr>
        <w:t>Początki wykorzystania energii wodnej sięgają Mezopotamii i starożytnego Egiptu, gdzie irygację stos</w:t>
      </w:r>
      <w:r w:rsidR="00C04088" w:rsidRPr="004F564F">
        <w:rPr>
          <w:sz w:val="20"/>
          <w:lang w:val="pl-PL"/>
        </w:rPr>
        <w:t xml:space="preserve">owano </w:t>
      </w:r>
      <w:r w:rsidRPr="004F564F">
        <w:rPr>
          <w:sz w:val="20"/>
          <w:lang w:val="pl-PL"/>
        </w:rPr>
        <w:t xml:space="preserve">od 6 tysiąclecia pne. Energia wodna pochodzi z siły </w:t>
      </w:r>
      <w:r w:rsidR="00C04088" w:rsidRPr="004F564F">
        <w:rPr>
          <w:sz w:val="20"/>
          <w:lang w:val="pl-PL"/>
        </w:rPr>
        <w:t>lub energii</w:t>
      </w:r>
      <w:r w:rsidRPr="004F564F">
        <w:rPr>
          <w:sz w:val="20"/>
          <w:lang w:val="pl-PL"/>
        </w:rPr>
        <w:t xml:space="preserve"> poruszającej się wody.</w:t>
      </w:r>
      <w:r w:rsidR="00C04088" w:rsidRPr="004F564F">
        <w:rPr>
          <w:rStyle w:val="Odwoanieprzypisudolnego"/>
          <w:sz w:val="20"/>
        </w:rPr>
        <w:t xml:space="preserve"> </w:t>
      </w:r>
      <w:r w:rsidR="00C04088" w:rsidRPr="004F564F">
        <w:rPr>
          <w:rStyle w:val="Odwoanieprzypisudolnego"/>
          <w:sz w:val="20"/>
        </w:rPr>
        <w:footnoteReference w:id="1"/>
      </w:r>
    </w:p>
    <w:p w14:paraId="470BF190" w14:textId="77777777" w:rsidR="00165BCE" w:rsidRPr="004F564F" w:rsidRDefault="00165BCE" w:rsidP="00165BCE">
      <w:pPr>
        <w:rPr>
          <w:sz w:val="20"/>
          <w:lang w:val="pl-PL"/>
        </w:rPr>
      </w:pPr>
      <w:r w:rsidRPr="004F564F">
        <w:rPr>
          <w:sz w:val="20"/>
          <w:lang w:val="pl-PL"/>
        </w:rPr>
        <w:t>Rodzaje wytwarzania energii wodnej:</w:t>
      </w:r>
      <w:r w:rsidR="00C04088" w:rsidRPr="004F564F">
        <w:rPr>
          <w:rStyle w:val="Odwoanieprzypisudolnego"/>
          <w:sz w:val="20"/>
        </w:rPr>
        <w:t xml:space="preserve"> </w:t>
      </w:r>
      <w:r w:rsidR="00C04088" w:rsidRPr="004F564F">
        <w:rPr>
          <w:rStyle w:val="Odwoanieprzypisudolnego"/>
          <w:sz w:val="20"/>
        </w:rPr>
        <w:footnoteReference w:id="2"/>
      </w:r>
      <w:r w:rsidR="00C04088" w:rsidRPr="004F564F">
        <w:rPr>
          <w:sz w:val="20"/>
        </w:rPr>
        <w:t>:</w:t>
      </w:r>
    </w:p>
    <w:p w14:paraId="303F0784" w14:textId="77777777" w:rsidR="00165BCE" w:rsidRPr="004F564F" w:rsidRDefault="00165BCE" w:rsidP="00165BCE">
      <w:pPr>
        <w:rPr>
          <w:sz w:val="20"/>
          <w:lang w:val="pl-PL"/>
        </w:rPr>
      </w:pPr>
      <w:r w:rsidRPr="004F564F">
        <w:rPr>
          <w:sz w:val="20"/>
          <w:lang w:val="pl-PL"/>
        </w:rPr>
        <w:t>• Konwencjonalne hydroelektryczne, odnoszące się do zapór hydroelektrycznych</w:t>
      </w:r>
    </w:p>
    <w:p w14:paraId="7D10237F" w14:textId="77777777" w:rsidR="00165BCE" w:rsidRPr="004F564F" w:rsidRDefault="00165BCE" w:rsidP="00165BCE">
      <w:pPr>
        <w:rPr>
          <w:sz w:val="20"/>
          <w:lang w:val="pl-PL"/>
        </w:rPr>
      </w:pPr>
      <w:r w:rsidRPr="004F564F">
        <w:rPr>
          <w:sz w:val="20"/>
          <w:lang w:val="pl-PL"/>
        </w:rPr>
        <w:t xml:space="preserve">• Wodna elektryczność przepływowa, </w:t>
      </w:r>
      <w:r w:rsidR="00C04088" w:rsidRPr="004F564F">
        <w:rPr>
          <w:sz w:val="20"/>
          <w:lang w:val="pl-PL"/>
        </w:rPr>
        <w:t>gdzie</w:t>
      </w:r>
      <w:r w:rsidRPr="004F564F">
        <w:rPr>
          <w:sz w:val="20"/>
          <w:lang w:val="pl-PL"/>
        </w:rPr>
        <w:t xml:space="preserve"> przechwytuje</w:t>
      </w:r>
      <w:r w:rsidR="00C04088" w:rsidRPr="004F564F">
        <w:rPr>
          <w:sz w:val="20"/>
          <w:lang w:val="pl-PL"/>
        </w:rPr>
        <w:t xml:space="preserve"> się</w:t>
      </w:r>
      <w:r w:rsidRPr="004F564F">
        <w:rPr>
          <w:sz w:val="20"/>
          <w:lang w:val="pl-PL"/>
        </w:rPr>
        <w:t xml:space="preserve"> energię kinetyczną w rzekach lub potokach, bez użycia tam.</w:t>
      </w:r>
    </w:p>
    <w:p w14:paraId="6F2EC974" w14:textId="77777777" w:rsidR="00165BCE" w:rsidRPr="004F564F" w:rsidRDefault="00165BCE" w:rsidP="00165BCE">
      <w:pPr>
        <w:rPr>
          <w:sz w:val="20"/>
          <w:lang w:val="pl-PL"/>
        </w:rPr>
      </w:pPr>
      <w:r w:rsidRPr="004F564F">
        <w:rPr>
          <w:sz w:val="20"/>
          <w:lang w:val="pl-PL"/>
        </w:rPr>
        <w:t>• Hydroelektryczność szczytowo-pompowa</w:t>
      </w:r>
      <w:r w:rsidR="00C04088" w:rsidRPr="004F564F">
        <w:rPr>
          <w:sz w:val="20"/>
          <w:lang w:val="pl-PL"/>
        </w:rPr>
        <w:t>,</w:t>
      </w:r>
      <w:r w:rsidRPr="004F564F">
        <w:rPr>
          <w:sz w:val="20"/>
          <w:lang w:val="pl-PL"/>
        </w:rPr>
        <w:t xml:space="preserve"> do pompowania wody i używania jej w </w:t>
      </w:r>
      <w:r w:rsidR="00C04088" w:rsidRPr="004F564F">
        <w:rPr>
          <w:sz w:val="20"/>
          <w:lang w:val="pl-PL"/>
        </w:rPr>
        <w:t xml:space="preserve">sytuacjach </w:t>
      </w:r>
      <w:r w:rsidRPr="004F564F">
        <w:rPr>
          <w:sz w:val="20"/>
          <w:lang w:val="pl-PL"/>
        </w:rPr>
        <w:t>zapotrzebowania.</w:t>
      </w:r>
    </w:p>
    <w:p w14:paraId="70F34CF7" w14:textId="77777777" w:rsidR="00165BCE" w:rsidRPr="004F564F" w:rsidRDefault="00165BCE" w:rsidP="00165BCE">
      <w:pPr>
        <w:rPr>
          <w:sz w:val="20"/>
          <w:lang w:val="pl-PL"/>
        </w:rPr>
      </w:pPr>
      <w:r w:rsidRPr="004F564F">
        <w:rPr>
          <w:sz w:val="20"/>
          <w:lang w:val="pl-PL"/>
        </w:rPr>
        <w:t xml:space="preserve">• </w:t>
      </w:r>
      <w:r w:rsidR="00C04088" w:rsidRPr="004F564F">
        <w:rPr>
          <w:sz w:val="20"/>
          <w:lang w:val="pl-PL"/>
        </w:rPr>
        <w:t xml:space="preserve">Energia pływów, </w:t>
      </w:r>
      <w:r w:rsidRPr="004F564F">
        <w:rPr>
          <w:sz w:val="20"/>
          <w:lang w:val="pl-PL"/>
        </w:rPr>
        <w:t>wychwytuje energię z pływów w kierunku poziomym.</w:t>
      </w:r>
    </w:p>
    <w:p w14:paraId="40DC9A3D" w14:textId="77777777" w:rsidR="00F737B6" w:rsidRPr="004F564F" w:rsidRDefault="00F737B6" w:rsidP="006B4948">
      <w:pPr>
        <w:spacing w:after="0"/>
        <w:rPr>
          <w:sz w:val="20"/>
          <w:lang w:val="pl-PL"/>
        </w:rPr>
      </w:pPr>
    </w:p>
    <w:p w14:paraId="6A15EF66" w14:textId="77777777" w:rsidR="00A85418" w:rsidRPr="004F564F" w:rsidRDefault="00A85418" w:rsidP="00A85418">
      <w:pPr>
        <w:spacing w:after="0"/>
        <w:rPr>
          <w:lang w:val="pl-PL"/>
        </w:rPr>
      </w:pPr>
    </w:p>
    <w:p w14:paraId="668E02B4" w14:textId="77777777" w:rsidR="00A85418" w:rsidRPr="004F564F" w:rsidRDefault="00A85418" w:rsidP="00A85418">
      <w:pPr>
        <w:spacing w:after="0"/>
        <w:rPr>
          <w:lang w:val="pl-PL"/>
        </w:rPr>
      </w:pPr>
      <w:r w:rsidRPr="004F564F">
        <w:rPr>
          <w:lang w:val="pl-PL"/>
        </w:rPr>
        <w:t>SLAJD 3</w:t>
      </w:r>
    </w:p>
    <w:p w14:paraId="710AADBF" w14:textId="77777777" w:rsidR="000D372E" w:rsidRPr="004F564F" w:rsidRDefault="00A85418" w:rsidP="00A85418">
      <w:pPr>
        <w:spacing w:after="0"/>
        <w:rPr>
          <w:lang w:val="pl-PL"/>
        </w:rPr>
      </w:pPr>
      <w:r w:rsidRPr="004F564F">
        <w:rPr>
          <w:lang w:val="pl-PL"/>
        </w:rPr>
        <w:t>Energia wodna - zatrudnienie i produkcja</w:t>
      </w:r>
    </w:p>
    <w:p w14:paraId="41B869FA" w14:textId="77777777" w:rsidR="00A85418" w:rsidRPr="004F564F" w:rsidRDefault="00A85418" w:rsidP="00A85418">
      <w:pPr>
        <w:spacing w:before="240"/>
        <w:rPr>
          <w:sz w:val="20"/>
          <w:lang w:val="pl-PL"/>
        </w:rPr>
      </w:pPr>
    </w:p>
    <w:p w14:paraId="5AC683BF" w14:textId="77777777" w:rsidR="00A85418" w:rsidRPr="004F564F" w:rsidRDefault="00A85418" w:rsidP="00A85418">
      <w:pPr>
        <w:spacing w:before="240"/>
        <w:rPr>
          <w:sz w:val="20"/>
          <w:lang w:val="pl-PL"/>
        </w:rPr>
      </w:pPr>
      <w:r w:rsidRPr="004F564F">
        <w:rPr>
          <w:sz w:val="20"/>
          <w:lang w:val="pl-PL"/>
        </w:rPr>
        <w:t>Energia wodna jest najczęściej wykorzystywanym rodzajem energii odnawialnej, o największej zainstalowanej mocy. W 2017 r. stanowiła 65% całej energii odnawialnej na świecie (patrz rysunek 3). Jej udział maleje wraz z szybszym instalowaniem innych rodzajów energii, takich jak systemy słoneczne lub wiatrowe. Na podstawie bazy danych IRENA w samym 2018 r. ponad 2 miliony osób było bezpośrednio zatrudnione w sektorze hydroenergetycznym na całym świecie, a około 70% miejsc pracy zajmowało się eksploatacją i konserwacją.</w:t>
      </w:r>
    </w:p>
    <w:p w14:paraId="0CB90DC2" w14:textId="77777777" w:rsidR="00A85418" w:rsidRPr="004F564F" w:rsidRDefault="00A85418">
      <w:pPr>
        <w:rPr>
          <w:sz w:val="20"/>
          <w:lang w:val="pl-PL"/>
        </w:rPr>
      </w:pPr>
      <w:r w:rsidRPr="004F564F">
        <w:rPr>
          <w:noProof/>
          <w:lang w:eastAsia="en-GB"/>
        </w:rPr>
        <w:drawing>
          <wp:anchor distT="0" distB="0" distL="114300" distR="114300" simplePos="0" relativeHeight="251811840" behindDoc="1" locked="0" layoutInCell="1" allowOverlap="1" wp14:anchorId="055905B4" wp14:editId="433C818A">
            <wp:simplePos x="0" y="0"/>
            <wp:positionH relativeFrom="margin">
              <wp:posOffset>3346892</wp:posOffset>
            </wp:positionH>
            <wp:positionV relativeFrom="paragraph">
              <wp:posOffset>2302372</wp:posOffset>
            </wp:positionV>
            <wp:extent cx="2687320" cy="294005"/>
            <wp:effectExtent l="0" t="0" r="0" b="0"/>
            <wp:wrapNone/>
            <wp:docPr id="14" name="Obraz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87320" cy="294005"/>
                    </a:xfrm>
                    <a:prstGeom prst="rect">
                      <a:avLst/>
                    </a:prstGeom>
                    <a:noFill/>
                    <a:ln>
                      <a:noFill/>
                    </a:ln>
                  </pic:spPr>
                </pic:pic>
              </a:graphicData>
            </a:graphic>
          </wp:anchor>
        </w:drawing>
      </w:r>
      <w:r w:rsidRPr="004F564F">
        <w:rPr>
          <w:noProof/>
          <w:lang w:eastAsia="en-GB"/>
        </w:rPr>
        <w:drawing>
          <wp:anchor distT="0" distB="0" distL="114300" distR="114300" simplePos="0" relativeHeight="251810816" behindDoc="0" locked="0" layoutInCell="1" allowOverlap="1" wp14:anchorId="034258FD" wp14:editId="235C8AD3">
            <wp:simplePos x="0" y="0"/>
            <wp:positionH relativeFrom="margin">
              <wp:posOffset>2297733</wp:posOffset>
            </wp:positionH>
            <wp:positionV relativeFrom="paragraph">
              <wp:posOffset>2016</wp:posOffset>
            </wp:positionV>
            <wp:extent cx="4302125" cy="2279650"/>
            <wp:effectExtent l="0" t="0" r="3175" b="6350"/>
            <wp:wrapNone/>
            <wp:docPr id="13" name="Chart 75">
              <a:extLst xmlns:a="http://schemas.openxmlformats.org/drawingml/2006/main">
                <a:ext uri="{FF2B5EF4-FFF2-40B4-BE49-F238E27FC236}">
                  <a16:creationId xmlns:a16="http://schemas.microsoft.com/office/drawing/2014/main" id="{B35D1862-ACBF-4AA0-810F-249EBC796D1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r w:rsidRPr="004F564F">
        <w:rPr>
          <w:sz w:val="20"/>
          <w:lang w:val="pl-PL"/>
        </w:rPr>
        <w:br w:type="page"/>
      </w:r>
    </w:p>
    <w:p w14:paraId="32517703" w14:textId="77777777" w:rsidR="00A85418" w:rsidRPr="004F564F" w:rsidRDefault="00A85418" w:rsidP="00A85418">
      <w:pPr>
        <w:spacing w:before="240"/>
        <w:rPr>
          <w:sz w:val="20"/>
          <w:lang w:val="pl-PL"/>
        </w:rPr>
      </w:pPr>
      <w:r w:rsidRPr="004F564F">
        <w:rPr>
          <w:noProof/>
          <w:lang w:eastAsia="en-GB"/>
        </w:rPr>
        <w:lastRenderedPageBreak/>
        <w:drawing>
          <wp:anchor distT="0" distB="0" distL="114300" distR="114300" simplePos="0" relativeHeight="251813888" behindDoc="0" locked="0" layoutInCell="1" allowOverlap="1" wp14:anchorId="30467AE0" wp14:editId="1AE4B307">
            <wp:simplePos x="0" y="0"/>
            <wp:positionH relativeFrom="margin">
              <wp:align>left</wp:align>
            </wp:positionH>
            <wp:positionV relativeFrom="paragraph">
              <wp:posOffset>-709406</wp:posOffset>
            </wp:positionV>
            <wp:extent cx="4572000" cy="2743200"/>
            <wp:effectExtent l="0" t="0" r="0" b="0"/>
            <wp:wrapNone/>
            <wp:docPr id="15" name="Chart 76">
              <a:extLst xmlns:a="http://schemas.openxmlformats.org/drawingml/2006/main">
                <a:ext uri="{FF2B5EF4-FFF2-40B4-BE49-F238E27FC236}">
                  <a16:creationId xmlns:a16="http://schemas.microsoft.com/office/drawing/2014/main" id="{D8EF90D2-54DA-4481-8985-7A140FED2C2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p>
    <w:p w14:paraId="7A4F7605" w14:textId="77777777" w:rsidR="00216115" w:rsidRPr="004F564F" w:rsidRDefault="00A85418" w:rsidP="00A85418">
      <w:pPr>
        <w:spacing w:before="240"/>
        <w:rPr>
          <w:sz w:val="20"/>
          <w:lang w:val="pl-PL"/>
        </w:rPr>
      </w:pPr>
      <w:r w:rsidRPr="004F564F">
        <w:rPr>
          <w:noProof/>
          <w:lang w:eastAsia="en-GB"/>
        </w:rPr>
        <mc:AlternateContent>
          <mc:Choice Requires="wps">
            <w:drawing>
              <wp:anchor distT="0" distB="0" distL="114300" distR="114300" simplePos="0" relativeHeight="251815936" behindDoc="0" locked="0" layoutInCell="1" allowOverlap="1" wp14:anchorId="52B4CA3D" wp14:editId="7CBF76ED">
                <wp:simplePos x="0" y="0"/>
                <wp:positionH relativeFrom="margin">
                  <wp:posOffset>405517</wp:posOffset>
                </wp:positionH>
                <wp:positionV relativeFrom="paragraph">
                  <wp:posOffset>1776068</wp:posOffset>
                </wp:positionV>
                <wp:extent cx="3168650" cy="348847"/>
                <wp:effectExtent l="0" t="0" r="0" b="0"/>
                <wp:wrapNone/>
                <wp:docPr id="16" name="Text Box 10"/>
                <wp:cNvGraphicFramePr/>
                <a:graphic xmlns:a="http://schemas.openxmlformats.org/drawingml/2006/main">
                  <a:graphicData uri="http://schemas.microsoft.com/office/word/2010/wordprocessingShape">
                    <wps:wsp>
                      <wps:cNvSpPr txBox="1"/>
                      <wps:spPr>
                        <a:xfrm>
                          <a:off x="0" y="0"/>
                          <a:ext cx="3168650" cy="348847"/>
                        </a:xfrm>
                        <a:prstGeom prst="rect">
                          <a:avLst/>
                        </a:prstGeom>
                        <a:solidFill>
                          <a:prstClr val="white"/>
                        </a:solidFill>
                        <a:ln>
                          <a:noFill/>
                        </a:ln>
                      </wps:spPr>
                      <wps:txbx>
                        <w:txbxContent>
                          <w:p w14:paraId="002349B4" w14:textId="77777777" w:rsidR="00A85418" w:rsidRDefault="00A85418" w:rsidP="00A85418">
                            <w:pPr>
                              <w:pStyle w:val="Legenda"/>
                              <w:spacing w:after="0"/>
                            </w:pPr>
                            <w:r>
                              <w:t>Figure 4. Hydropower installed capacity worldwide in 2019</w:t>
                            </w:r>
                          </w:p>
                          <w:p w14:paraId="64CF3935" w14:textId="77777777" w:rsidR="00A85418" w:rsidRPr="008B4343" w:rsidRDefault="00A85418" w:rsidP="00A85418">
                            <w:pPr>
                              <w:spacing w:after="0"/>
                              <w:rPr>
                                <w:i/>
                                <w:iCs/>
                                <w:color w:val="44546A" w:themeColor="text2"/>
                                <w:sz w:val="18"/>
                                <w:szCs w:val="18"/>
                              </w:rPr>
                            </w:pPr>
                            <w:r w:rsidRPr="000D372E">
                              <w:rPr>
                                <w:i/>
                                <w:iCs/>
                                <w:color w:val="44546A" w:themeColor="text2"/>
                                <w:sz w:val="18"/>
                                <w:szCs w:val="18"/>
                              </w:rPr>
                              <w:t xml:space="preserve">Source: </w:t>
                            </w:r>
                            <w:hyperlink r:id="rId13" w:history="1">
                              <w:r w:rsidRPr="008B4343">
                                <w:rPr>
                                  <w:i/>
                                  <w:iCs/>
                                  <w:color w:val="44546A" w:themeColor="text2"/>
                                  <w:sz w:val="18"/>
                                  <w:szCs w:val="18"/>
                                </w:rPr>
                                <w:t>https://www.hydropower.org/statusreport</w:t>
                              </w:r>
                            </w:hyperlink>
                          </w:p>
                          <w:p w14:paraId="7CD296A5" w14:textId="77777777" w:rsidR="00A85418" w:rsidRPr="000D372E" w:rsidRDefault="00A85418" w:rsidP="00A85418"/>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2B4CA3D" id="Text Box 10" o:spid="_x0000_s1028" type="#_x0000_t202" style="position:absolute;margin-left:31.95pt;margin-top:139.85pt;width:249.5pt;height:27.45pt;z-index:2518159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" stroked="f">
                <v:textbox inset="0,0,0,0">
                  <w:txbxContent>
                    <w:p w14:paraId="002349B4" w14:textId="77777777" w:rsidR="00A85418" w:rsidRDefault="00A85418" w:rsidP="00A85418">
                      <w:pPr>
                        <w:pStyle w:val="Legenda"/>
                        <w:spacing w:after="0"/>
                      </w:pPr>
                      <w:r>
                        <w:t>Figure 4. Hydropower installed capacity worldwide in 2019</w:t>
                      </w:r>
                    </w:p>
                    <w:p w14:paraId="64CF3935" w14:textId="77777777" w:rsidR="00A85418" w:rsidRPr="008B4343" w:rsidRDefault="00A85418" w:rsidP="00A85418">
                      <w:pPr>
                        <w:spacing w:after="0"/>
                        <w:rPr>
                          <w:i/>
                          <w:iCs/>
                          <w:color w:val="44546A" w:themeColor="text2"/>
                          <w:sz w:val="18"/>
                          <w:szCs w:val="18"/>
                        </w:rPr>
                      </w:pPr>
                      <w:r w:rsidRPr="000D372E">
                        <w:rPr>
                          <w:i/>
                          <w:iCs/>
                          <w:color w:val="44546A" w:themeColor="text2"/>
                          <w:sz w:val="18"/>
                          <w:szCs w:val="18"/>
                        </w:rPr>
                        <w:t xml:space="preserve">Source: </w:t>
                      </w:r>
                      <w:hyperlink r:id="rId14" w:history="1">
                        <w:r w:rsidRPr="008B4343">
                          <w:rPr>
                            <w:i/>
                            <w:iCs/>
                            <w:color w:val="44546A" w:themeColor="text2"/>
                            <w:sz w:val="18"/>
                            <w:szCs w:val="18"/>
                          </w:rPr>
                          <w:t>https://www.hydropower.org/statusreport</w:t>
                        </w:r>
                      </w:hyperlink>
                    </w:p>
                    <w:p w14:paraId="7CD296A5" w14:textId="77777777" w:rsidR="00A85418" w:rsidRPr="000D372E" w:rsidRDefault="00A85418" w:rsidP="00A85418"/>
                  </w:txbxContent>
                </v:textbox>
                <w10:wrap anchorx="margin"/>
              </v:shape>
            </w:pict>
          </mc:Fallback>
        </mc:AlternateContent>
      </w:r>
      <w:r w:rsidR="00216115" w:rsidRPr="004F564F">
        <w:rPr>
          <w:sz w:val="20"/>
          <w:lang w:val="pl-PL"/>
        </w:rPr>
        <w:br w:type="page"/>
      </w:r>
    </w:p>
    <w:p w14:paraId="556F860A" w14:textId="77777777" w:rsidR="00A85418" w:rsidRPr="004F564F" w:rsidRDefault="00A85418" w:rsidP="00A85418">
      <w:pPr>
        <w:rPr>
          <w:lang w:val="pl-PL"/>
        </w:rPr>
      </w:pPr>
      <w:r w:rsidRPr="004F564F">
        <w:rPr>
          <w:lang w:val="pl-PL"/>
        </w:rPr>
        <w:lastRenderedPageBreak/>
        <w:t>SLAJD 4</w:t>
      </w:r>
    </w:p>
    <w:p w14:paraId="327620F3" w14:textId="77777777" w:rsidR="00A85418" w:rsidRPr="004F564F" w:rsidRDefault="00A85418" w:rsidP="00A85418">
      <w:pPr>
        <w:rPr>
          <w:lang w:val="pl-PL"/>
        </w:rPr>
      </w:pPr>
      <w:r w:rsidRPr="004F564F">
        <w:rPr>
          <w:lang w:val="pl-PL"/>
        </w:rPr>
        <w:t xml:space="preserve">Energia wiatru </w:t>
      </w:r>
    </w:p>
    <w:p w14:paraId="78DAD2A8" w14:textId="77777777" w:rsidR="00A85418" w:rsidRPr="004F564F" w:rsidRDefault="00A85418" w:rsidP="00A85418">
      <w:pPr>
        <w:rPr>
          <w:lang w:val="pl-PL"/>
        </w:rPr>
      </w:pPr>
      <w:r w:rsidRPr="004F564F">
        <w:rPr>
          <w:lang w:val="pl-PL"/>
        </w:rPr>
        <w:t>Podobnie jak siła wodna, energia wiatrowa była wykorzystywana przez ludzi przez wiele wieków przed naszą erą. Opiera się na wykorzystaniu wiatru do obracania generatorów elektrycznych przez turbiny wiatrowe. Turbiny wiatrowe można ogólnie podzielić na następujące typy na podstawie orientacji wału wirnika w stosunku do nadciągającego wiatru:</w:t>
      </w:r>
    </w:p>
    <w:p w14:paraId="7DD062B3" w14:textId="77777777" w:rsidR="00A85418" w:rsidRPr="004F564F" w:rsidRDefault="00A85418" w:rsidP="00A85418">
      <w:pPr>
        <w:rPr>
          <w:lang w:val="pl-PL"/>
        </w:rPr>
      </w:pPr>
      <w:r w:rsidRPr="004F564F">
        <w:rPr>
          <w:lang w:val="pl-PL"/>
        </w:rPr>
        <w:t>• Maszyny z osią pionową - wał wirnika, który przenosi łopaty, jest ustawiony prostopadle do podłoża</w:t>
      </w:r>
    </w:p>
    <w:p w14:paraId="3E676DFB" w14:textId="77777777" w:rsidR="00FB38F3" w:rsidRPr="004F564F" w:rsidRDefault="00A85418" w:rsidP="00A85418">
      <w:pPr>
        <w:rPr>
          <w:lang w:val="pl-PL"/>
        </w:rPr>
      </w:pPr>
      <w:r w:rsidRPr="004F564F">
        <w:rPr>
          <w:lang w:val="pl-PL"/>
        </w:rPr>
        <w:t>• Maszyny z osią poziomą - wał wirnika jest zamontowany na osi poziomej równoległej do podłoża</w:t>
      </w:r>
    </w:p>
    <w:p w14:paraId="20F300E4" w14:textId="77777777" w:rsidR="00A85418" w:rsidRPr="004F564F" w:rsidRDefault="00A85418" w:rsidP="00A85418">
      <w:pPr>
        <w:rPr>
          <w:lang w:val="pl-PL"/>
        </w:rPr>
      </w:pPr>
    </w:p>
    <w:p w14:paraId="2575E1FA" w14:textId="77777777" w:rsidR="00A85418" w:rsidRPr="004F564F" w:rsidRDefault="00A85418" w:rsidP="00A85418">
      <w:pPr>
        <w:rPr>
          <w:lang w:val="pl-PL"/>
        </w:rPr>
      </w:pPr>
      <w:r w:rsidRPr="004F564F">
        <w:rPr>
          <w:lang w:val="pl-PL"/>
        </w:rPr>
        <w:t xml:space="preserve">Farmy wiatrowe można umieszczać zarówno na lądzie, jak i na morzu. Farmy na morzu są stosunkowo droższe, ale za to bardziej stabilne i wydajne. Dodatkowo nie wiążą się z negatywnym wyglądem, jak w przypadku farm znajdujących się na lądzie.  </w:t>
      </w:r>
    </w:p>
    <w:p w14:paraId="366B01AC" w14:textId="77777777" w:rsidR="00F527DA" w:rsidRPr="004F564F" w:rsidRDefault="00F527DA" w:rsidP="00A85418">
      <w:pPr>
        <w:rPr>
          <w:lang w:val="pl-PL"/>
        </w:rPr>
      </w:pPr>
      <w:r w:rsidRPr="004F564F">
        <w:rPr>
          <w:noProof/>
          <w:lang w:eastAsia="en-GB"/>
        </w:rPr>
        <w:drawing>
          <wp:anchor distT="0" distB="0" distL="114300" distR="114300" simplePos="0" relativeHeight="251817984" behindDoc="0" locked="0" layoutInCell="1" allowOverlap="1" wp14:anchorId="58424A19" wp14:editId="02217F6C">
            <wp:simplePos x="0" y="0"/>
            <wp:positionH relativeFrom="column">
              <wp:posOffset>0</wp:posOffset>
            </wp:positionH>
            <wp:positionV relativeFrom="paragraph">
              <wp:posOffset>285750</wp:posOffset>
            </wp:positionV>
            <wp:extent cx="3422015" cy="1315085"/>
            <wp:effectExtent l="0" t="0" r="6985" b="0"/>
            <wp:wrapThrough wrapText="bothSides">
              <wp:wrapPolygon edited="0">
                <wp:start x="0" y="0"/>
                <wp:lineTo x="0" y="21277"/>
                <wp:lineTo x="21524" y="21277"/>
                <wp:lineTo x="21524" y="0"/>
                <wp:lineTo x="0" y="0"/>
              </wp:wrapPolygon>
            </wp:wrapThrough>
            <wp:docPr id="1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422015" cy="1315085"/>
                    </a:xfrm>
                    <a:prstGeom prst="rect">
                      <a:avLst/>
                    </a:prstGeom>
                  </pic:spPr>
                </pic:pic>
              </a:graphicData>
            </a:graphic>
            <wp14:sizeRelH relativeFrom="margin">
              <wp14:pctWidth>0</wp14:pctWidth>
            </wp14:sizeRelH>
            <wp14:sizeRelV relativeFrom="margin">
              <wp14:pctHeight>0</wp14:pctHeight>
            </wp14:sizeRelV>
          </wp:anchor>
        </w:drawing>
      </w:r>
    </w:p>
    <w:p w14:paraId="422BF2C2" w14:textId="77777777" w:rsidR="00FB38F3" w:rsidRPr="004F564F" w:rsidRDefault="00FB38F3" w:rsidP="00F6492E">
      <w:pPr>
        <w:rPr>
          <w:lang w:val="pl-PL"/>
        </w:rPr>
      </w:pPr>
    </w:p>
    <w:p w14:paraId="2B0CDD10" w14:textId="77777777" w:rsidR="00F527DA" w:rsidRPr="004F564F" w:rsidRDefault="00F527DA" w:rsidP="00F6492E">
      <w:pPr>
        <w:rPr>
          <w:lang w:val="pl-PL"/>
        </w:rPr>
      </w:pPr>
    </w:p>
    <w:p w14:paraId="27896776" w14:textId="77777777" w:rsidR="00F527DA" w:rsidRPr="004F564F" w:rsidRDefault="00F527DA" w:rsidP="00F6492E">
      <w:pPr>
        <w:rPr>
          <w:lang w:val="pl-PL"/>
        </w:rPr>
      </w:pPr>
    </w:p>
    <w:p w14:paraId="5D52D9A1" w14:textId="77777777" w:rsidR="00F527DA" w:rsidRPr="004F564F" w:rsidRDefault="00F527DA" w:rsidP="00F6492E">
      <w:pPr>
        <w:rPr>
          <w:lang w:val="pl-PL"/>
        </w:rPr>
      </w:pPr>
    </w:p>
    <w:p w14:paraId="4E73E56E" w14:textId="77777777" w:rsidR="00F527DA" w:rsidRPr="004F564F" w:rsidRDefault="00F527DA" w:rsidP="00F6492E">
      <w:pPr>
        <w:rPr>
          <w:lang w:val="pl-PL"/>
        </w:rPr>
      </w:pPr>
      <w:r w:rsidRPr="004F564F">
        <w:rPr>
          <w:noProof/>
          <w:lang w:eastAsia="en-GB"/>
        </w:rPr>
        <mc:AlternateContent>
          <mc:Choice Requires="wps">
            <w:drawing>
              <wp:anchor distT="0" distB="0" distL="114300" distR="114300" simplePos="0" relativeHeight="251820032" behindDoc="0" locked="0" layoutInCell="1" allowOverlap="1" wp14:anchorId="5A21F9A5" wp14:editId="64731D9C">
                <wp:simplePos x="0" y="0"/>
                <wp:positionH relativeFrom="margin">
                  <wp:align>center</wp:align>
                </wp:positionH>
                <wp:positionV relativeFrom="paragraph">
                  <wp:posOffset>133708</wp:posOffset>
                </wp:positionV>
                <wp:extent cx="5731510" cy="635"/>
                <wp:effectExtent l="0" t="0" r="2540" b="0"/>
                <wp:wrapNone/>
                <wp:docPr id="19" name="Text Box 26"/>
                <wp:cNvGraphicFramePr/>
                <a:graphic xmlns:a="http://schemas.openxmlformats.org/drawingml/2006/main">
                  <a:graphicData uri="http://schemas.microsoft.com/office/word/2010/wordprocessingShape">
                    <wps:wsp>
                      <wps:cNvSpPr txBox="1"/>
                      <wps:spPr>
                        <a:xfrm>
                          <a:off x="0" y="0"/>
                          <a:ext cx="5731510" cy="635"/>
                        </a:xfrm>
                        <a:prstGeom prst="rect">
                          <a:avLst/>
                        </a:prstGeom>
                        <a:solidFill>
                          <a:prstClr val="white"/>
                        </a:solidFill>
                        <a:ln>
                          <a:noFill/>
                        </a:ln>
                      </wps:spPr>
                      <wps:txbx>
                        <w:txbxContent>
                          <w:p w14:paraId="7487400C" w14:textId="77777777" w:rsidR="00F527DA" w:rsidRPr="00A37FDF" w:rsidRDefault="00F527DA" w:rsidP="00F527DA">
                            <w:pPr>
                              <w:pStyle w:val="Legenda"/>
                              <w:spacing w:after="0"/>
                            </w:pPr>
                            <w:r>
                              <w:t>Figure 5. Offshore power plant assets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5A21F9A5" id="Text Box 26" o:spid="_x0000_s1029" type="#_x0000_t202" style="position:absolute;margin-left:0;margin-top:10.55pt;width:451.3pt;height:.05pt;z-index:251820032;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" stroked="f">
                <v:textbox style="mso-fit-shape-to-text:t" inset="0,0,0,0">
                  <w:txbxContent>
                    <w:p w14:paraId="7487400C" w14:textId="77777777" w:rsidR="00F527DA" w:rsidRPr="00A37FDF" w:rsidRDefault="00F527DA" w:rsidP="00F527DA">
                      <w:pPr>
                        <w:pStyle w:val="Legenda"/>
                        <w:spacing w:after="0"/>
                      </w:pPr>
                      <w:r>
                        <w:t>Figure 5. Offshore power plant assets</w:t>
                      </w:r>
                    </w:p>
                  </w:txbxContent>
                </v:textbox>
                <w10:wrap anchorx="margin"/>
              </v:shape>
            </w:pict>
          </mc:Fallback>
        </mc:AlternateContent>
      </w:r>
    </w:p>
    <w:p w14:paraId="4F359509" w14:textId="77777777" w:rsidR="00F527DA" w:rsidRPr="004F564F" w:rsidRDefault="00F527DA" w:rsidP="00F6492E">
      <w:pPr>
        <w:rPr>
          <w:lang w:val="pl-PL"/>
        </w:rPr>
      </w:pPr>
    </w:p>
    <w:p w14:paraId="55A35F92" w14:textId="77777777" w:rsidR="00F527DA" w:rsidRPr="004F564F" w:rsidRDefault="00F527DA" w:rsidP="00F527DA">
      <w:pPr>
        <w:rPr>
          <w:lang w:val="pl-PL"/>
        </w:rPr>
      </w:pPr>
      <w:r w:rsidRPr="004F564F">
        <w:rPr>
          <w:lang w:val="pl-PL"/>
        </w:rPr>
        <w:t>Energia wiatrowa - zatrudnienie i produkcja</w:t>
      </w:r>
    </w:p>
    <w:p w14:paraId="7796540E" w14:textId="77777777" w:rsidR="00F527DA" w:rsidRPr="004F564F" w:rsidRDefault="00F527DA" w:rsidP="00F527DA">
      <w:pPr>
        <w:rPr>
          <w:lang w:val="pl-PL"/>
        </w:rPr>
      </w:pPr>
      <w:r w:rsidRPr="004F564F">
        <w:rPr>
          <w:lang w:val="pl-PL"/>
        </w:rPr>
        <w:t>Energia wiatrowa jest drugim najczęściej wykorzystywanym źródłem energii odnawialnej. W 2017 r. stanowiła 18% światowej produkcji energii odnawialnej. Większość przemysłu wiatrowego działa na lądzie (540 GW w porównaniu do 23 GW na morzu na podstawie raportu IRENA 2019).</w:t>
      </w:r>
    </w:p>
    <w:p w14:paraId="5D238C21" w14:textId="77777777" w:rsidR="00F527DA" w:rsidRPr="004F564F" w:rsidRDefault="00F527DA" w:rsidP="00F527DA">
      <w:pPr>
        <w:rPr>
          <w:lang w:val="pl-PL"/>
        </w:rPr>
      </w:pPr>
      <w:r w:rsidRPr="004F564F">
        <w:rPr>
          <w:lang w:val="pl-PL"/>
        </w:rPr>
        <w:t>W branży energetyki wiatrowej zatrudnionych jest około 1,16 mln osób na całym świecie, a 44% miejsc pracy znajduje się w Chinach. Chociaż wiatr jest stałym źródłem energii w ciągu roku, występują znaczne rozbieżności w krótszych okresach, dlatego jest on używany z innymi źródłami energii lub razem z akumulatorami w celu zapewnienia niezawodnego zasilania.</w:t>
      </w:r>
    </w:p>
    <w:p w14:paraId="37C3AF52" w14:textId="77777777" w:rsidR="00F527DA" w:rsidRPr="004F564F" w:rsidRDefault="00F527DA" w:rsidP="00F527DA">
      <w:pPr>
        <w:rPr>
          <w:lang w:val="pl-PL"/>
        </w:rPr>
      </w:pPr>
    </w:p>
    <w:p w14:paraId="6929B4C1" w14:textId="77777777" w:rsidR="00F527DA" w:rsidRPr="004F564F" w:rsidRDefault="00F527DA" w:rsidP="00F527DA">
      <w:pPr>
        <w:rPr>
          <w:lang w:val="pl-PL"/>
        </w:rPr>
      </w:pPr>
      <w:r w:rsidRPr="004F564F">
        <w:rPr>
          <w:lang w:val="pl-PL"/>
        </w:rPr>
        <w:t>SLAJD 6</w:t>
      </w:r>
    </w:p>
    <w:p w14:paraId="00083366" w14:textId="77777777" w:rsidR="00F527DA" w:rsidRPr="004F564F" w:rsidRDefault="00F527DA" w:rsidP="00F527DA">
      <w:pPr>
        <w:rPr>
          <w:lang w:val="pl-PL"/>
        </w:rPr>
      </w:pPr>
      <w:r w:rsidRPr="004F564F">
        <w:rPr>
          <w:lang w:val="pl-PL"/>
        </w:rPr>
        <w:t>Energia słoneczna</w:t>
      </w:r>
    </w:p>
    <w:p w14:paraId="55A87704" w14:textId="77777777" w:rsidR="00F527DA" w:rsidRPr="004F564F" w:rsidRDefault="00F527DA" w:rsidP="00F527DA">
      <w:pPr>
        <w:rPr>
          <w:lang w:val="pl-PL"/>
        </w:rPr>
      </w:pPr>
    </w:p>
    <w:p w14:paraId="3AEABFAD" w14:textId="77777777" w:rsidR="00F527DA" w:rsidRPr="004F564F" w:rsidRDefault="00F527DA" w:rsidP="00F527DA">
      <w:pPr>
        <w:rPr>
          <w:lang w:val="pl-PL"/>
        </w:rPr>
      </w:pPr>
      <w:r w:rsidRPr="004F564F">
        <w:rPr>
          <w:lang w:val="pl-PL"/>
        </w:rPr>
        <w:t xml:space="preserve">Energia słoneczna po prostu przekształca światło słoneczne w elektryczność. Można to osiągnąć za pomocą fotowoltaiki lub skoncentrowaniu energii słonecznej. Ogniwa fotowoltaiczne przekształcają </w:t>
      </w:r>
      <w:r w:rsidRPr="004F564F">
        <w:rPr>
          <w:lang w:val="pl-PL"/>
        </w:rPr>
        <w:lastRenderedPageBreak/>
        <w:t>światło w prąd elektryczny za pomocą efektu fotowoltaicznego, podczas gdy skoncentrowane systemy energii słonecznej wykorzystują soczewki lub lustra i systemy śledzenia do skupiania dużego obszaru światła słonecznego w małą wiązkę.</w:t>
      </w:r>
      <w:r w:rsidRPr="004F564F">
        <w:rPr>
          <w:rStyle w:val="Odwoanieprzypisudolnego"/>
          <w:sz w:val="20"/>
        </w:rPr>
        <w:t xml:space="preserve"> </w:t>
      </w:r>
      <w:r w:rsidRPr="004F564F">
        <w:rPr>
          <w:rStyle w:val="Odwoanieprzypisudolnego"/>
          <w:sz w:val="20"/>
        </w:rPr>
        <w:footnoteReference w:id="3"/>
      </w:r>
    </w:p>
    <w:p w14:paraId="5AC8348D" w14:textId="77777777" w:rsidR="00F527DA" w:rsidRPr="004F564F" w:rsidRDefault="00F527DA" w:rsidP="00F527DA">
      <w:pPr>
        <w:rPr>
          <w:lang w:val="pl-PL"/>
        </w:rPr>
      </w:pPr>
      <w:r w:rsidRPr="004F564F">
        <w:rPr>
          <w:lang w:val="pl-PL"/>
        </w:rPr>
        <w:t>Instalacje fotowoltaiczne mogą być łączone w celu dostarczenia energii elektrycznej na skalę komercyjną lub rozmieszczone w mniejszych konfiguracjach dla mini-sieci lub do użytku osobistego. Wykorzystanie fotowoltaiki słonecznej do zasilania małej sieci to doskonały sposób na zapewnienie dostępu do energii elektrycznej osobom, które nie mieszkają w pobliżu linii przesyłowych, zwłaszcza w krajach rozwijających się o doskonałych zasobach energii słonecznej.</w:t>
      </w:r>
      <w:r w:rsidRPr="004F564F">
        <w:rPr>
          <w:rStyle w:val="Odwoanieprzypisudolnego"/>
          <w:sz w:val="20"/>
        </w:rPr>
        <w:t xml:space="preserve"> </w:t>
      </w:r>
      <w:r w:rsidRPr="004F564F">
        <w:rPr>
          <w:rStyle w:val="Odwoanieprzypisudolnego"/>
          <w:sz w:val="20"/>
        </w:rPr>
        <w:footnoteReference w:id="4"/>
      </w:r>
    </w:p>
    <w:p w14:paraId="4D94E3DB" w14:textId="77777777" w:rsidR="00F527DA" w:rsidRPr="004F564F" w:rsidRDefault="00F527DA" w:rsidP="00F527DA">
      <w:pPr>
        <w:rPr>
          <w:lang w:val="pl-PL"/>
        </w:rPr>
      </w:pPr>
      <w:r w:rsidRPr="004F564F">
        <w:rPr>
          <w:lang w:val="pl-PL"/>
        </w:rPr>
        <w:t>Od 2011 r. energia słoneczna jest sektorem energii odnawialnej, w który najbardziej się inwestuje (patrz rysunek 7), co spowodowało ogromny spadek kosztów fotowoltaiki słonecznej (patrz rysunek 6). Jest to niezwykle ważne w przypadku biednych regionów, w których brak infrastruktury uniemożliwia ludziom dostęp do prądu.</w:t>
      </w:r>
    </w:p>
    <w:p w14:paraId="63F63235" w14:textId="77777777" w:rsidR="00F527DA" w:rsidRPr="004F564F" w:rsidRDefault="00F527DA" w:rsidP="00F6492E">
      <w:pPr>
        <w:rPr>
          <w:lang w:val="pl-PL"/>
        </w:rPr>
      </w:pPr>
      <w:r w:rsidRPr="004F564F">
        <w:rPr>
          <w:noProof/>
          <w:lang w:eastAsia="en-GB"/>
        </w:rPr>
        <w:drawing>
          <wp:anchor distT="0" distB="0" distL="114300" distR="114300" simplePos="0" relativeHeight="251822080" behindDoc="0" locked="0" layoutInCell="1" allowOverlap="1" wp14:anchorId="2F43E561" wp14:editId="5AC38FCE">
            <wp:simplePos x="0" y="0"/>
            <wp:positionH relativeFrom="column">
              <wp:posOffset>0</wp:posOffset>
            </wp:positionH>
            <wp:positionV relativeFrom="paragraph">
              <wp:posOffset>-635</wp:posOffset>
            </wp:positionV>
            <wp:extent cx="4572000" cy="2743200"/>
            <wp:effectExtent l="0" t="0" r="0" b="0"/>
            <wp:wrapNone/>
            <wp:docPr id="20" name="Chart 78">
              <a:extLst xmlns:a="http://schemas.openxmlformats.org/drawingml/2006/main">
                <a:ext uri="{FF2B5EF4-FFF2-40B4-BE49-F238E27FC236}">
                  <a16:creationId xmlns:a16="http://schemas.microsoft.com/office/drawing/2014/main" id="{FFB7DBDC-457A-49A1-8719-D06A0F75D08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anchor>
        </w:drawing>
      </w:r>
    </w:p>
    <w:p w14:paraId="76F0F970" w14:textId="77777777" w:rsidR="00F527DA" w:rsidRPr="004F564F" w:rsidRDefault="00F527DA" w:rsidP="00F527DA">
      <w:pPr>
        <w:rPr>
          <w:sz w:val="20"/>
          <w:lang w:val="pl-PL"/>
        </w:rPr>
      </w:pPr>
      <w:r w:rsidRPr="004F564F">
        <w:rPr>
          <w:noProof/>
          <w:sz w:val="20"/>
          <w:lang w:eastAsia="en-GB"/>
        </w:rPr>
        <mc:AlternateContent>
          <mc:Choice Requires="wps">
            <w:drawing>
              <wp:anchor distT="0" distB="0" distL="114300" distR="114300" simplePos="0" relativeHeight="251828224" behindDoc="0" locked="0" layoutInCell="1" allowOverlap="1" wp14:anchorId="1B70BC50" wp14:editId="4EF500CF">
                <wp:simplePos x="0" y="0"/>
                <wp:positionH relativeFrom="margin">
                  <wp:align>left</wp:align>
                </wp:positionH>
                <wp:positionV relativeFrom="paragraph">
                  <wp:posOffset>6232911</wp:posOffset>
                </wp:positionV>
                <wp:extent cx="5264150" cy="306562"/>
                <wp:effectExtent l="0" t="0" r="0" b="0"/>
                <wp:wrapNone/>
                <wp:docPr id="23" name="Text Box 31"/>
                <wp:cNvGraphicFramePr/>
                <a:graphic xmlns:a="http://schemas.openxmlformats.org/drawingml/2006/main">
                  <a:graphicData uri="http://schemas.microsoft.com/office/word/2010/wordprocessingShape">
                    <wps:wsp>
                      <wps:cNvSpPr txBox="1"/>
                      <wps:spPr>
                        <a:xfrm>
                          <a:off x="0" y="0"/>
                          <a:ext cx="5264150" cy="306562"/>
                        </a:xfrm>
                        <a:prstGeom prst="rect">
                          <a:avLst/>
                        </a:prstGeom>
                        <a:solidFill>
                          <a:prstClr val="white"/>
                        </a:solidFill>
                        <a:ln>
                          <a:noFill/>
                        </a:ln>
                      </wps:spPr>
                      <wps:txbx>
                        <w:txbxContent>
                          <w:p w14:paraId="3B585555" w14:textId="77777777" w:rsidR="00F527DA" w:rsidRDefault="00F527DA" w:rsidP="00F527DA">
                            <w:pPr>
                              <w:pStyle w:val="Legenda"/>
                              <w:spacing w:after="0"/>
                            </w:pPr>
                            <w:r>
                              <w:t>Figure 7. Global trends in renewable energy investment</w:t>
                            </w:r>
                          </w:p>
                          <w:p w14:paraId="46CE6CDA" w14:textId="77777777" w:rsidR="00F527DA" w:rsidRPr="00644A02" w:rsidRDefault="00F527DA" w:rsidP="00F527DA">
                            <w:pPr>
                              <w:spacing w:after="0"/>
                            </w:pPr>
                            <w:r w:rsidRPr="00644A02">
                              <w:rPr>
                                <w:i/>
                                <w:iCs/>
                                <w:color w:val="44546A" w:themeColor="text2"/>
                                <w:sz w:val="18"/>
                                <w:szCs w:val="18"/>
                              </w:rPr>
                              <w:t xml:space="preserve">Source: </w:t>
                            </w:r>
                            <w:hyperlink r:id="rId17" w:history="1">
                              <w:r w:rsidRPr="00644A02">
                                <w:rPr>
                                  <w:rStyle w:val="Hipercze"/>
                                  <w:sz w:val="18"/>
                                </w:rPr>
                                <w:t>https://www.irena.org/Statistics/View-Data-by-Topic/Finance-and-Investment/Investment-Trends</w:t>
                              </w:r>
                            </w:hyperlink>
                            <w:r>
                              <w:rPr>
                                <w:sz w:val="18"/>
                              </w:rPr>
                              <w:t xml:space="preserve"> </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B70BC50" id="Text Box 31" o:spid="_x0000_s1030" type="#_x0000_t202" style="position:absolute;margin-left:0;margin-top:490.8pt;width:414.5pt;height:24.15pt;z-index:251828224;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" stroked="f">
                <v:textbox inset="0,0,0,0">
                  <w:txbxContent>
                    <w:p w14:paraId="3B585555" w14:textId="77777777" w:rsidR="00F527DA" w:rsidRDefault="00F527DA" w:rsidP="00F527DA">
                      <w:pPr>
                        <w:pStyle w:val="Legenda"/>
                        <w:spacing w:after="0"/>
                      </w:pPr>
                      <w:r>
                        <w:t>Figure 7. Global trends in renewable energy investment</w:t>
                      </w:r>
                    </w:p>
                    <w:p w14:paraId="46CE6CDA" w14:textId="77777777" w:rsidR="00F527DA" w:rsidRPr="00644A02" w:rsidRDefault="00F527DA" w:rsidP="00F527DA">
                      <w:pPr>
                        <w:spacing w:after="0"/>
                      </w:pPr>
                      <w:r w:rsidRPr="00644A02">
                        <w:rPr>
                          <w:i/>
                          <w:iCs/>
                          <w:color w:val="44546A" w:themeColor="text2"/>
                          <w:sz w:val="18"/>
                          <w:szCs w:val="18"/>
                        </w:rPr>
                        <w:t xml:space="preserve">Source: </w:t>
                      </w:r>
                      <w:hyperlink r:id="rId18" w:history="1">
                        <w:r w:rsidRPr="00644A02">
                          <w:rPr>
                            <w:rStyle w:val="Hipercze"/>
                            <w:sz w:val="18"/>
                          </w:rPr>
                          <w:t>https://www.irena.org/Statistics/View-Data-by-Topic/Finance-and-Investment/Investment-Trends</w:t>
                        </w:r>
                      </w:hyperlink>
                      <w:r>
                        <w:rPr>
                          <w:sz w:val="18"/>
                        </w:rPr>
                        <w:t xml:space="preserve"> </w:t>
                      </w:r>
                    </w:p>
                  </w:txbxContent>
                </v:textbox>
                <w10:wrap anchorx="margin"/>
              </v:shape>
            </w:pict>
          </mc:Fallback>
        </mc:AlternateContent>
      </w:r>
      <w:r w:rsidRPr="004F564F">
        <w:rPr>
          <w:noProof/>
          <w:lang w:eastAsia="en-GB"/>
        </w:rPr>
        <w:drawing>
          <wp:anchor distT="0" distB="0" distL="114300" distR="114300" simplePos="0" relativeHeight="251826176" behindDoc="0" locked="0" layoutInCell="1" allowOverlap="1" wp14:anchorId="282CE46F" wp14:editId="5D444AFE">
            <wp:simplePos x="0" y="0"/>
            <wp:positionH relativeFrom="margin">
              <wp:align>left</wp:align>
            </wp:positionH>
            <wp:positionV relativeFrom="paragraph">
              <wp:posOffset>2957251</wp:posOffset>
            </wp:positionV>
            <wp:extent cx="5194621" cy="2972871"/>
            <wp:effectExtent l="0" t="0" r="6350" b="0"/>
            <wp:wrapNone/>
            <wp:docPr id="22" name="Chart 81">
              <a:extLst xmlns:a="http://schemas.openxmlformats.org/drawingml/2006/main">
                <a:ext uri="{FF2B5EF4-FFF2-40B4-BE49-F238E27FC236}">
                  <a16:creationId xmlns:a16="http://schemas.microsoft.com/office/drawing/2014/main" id="{0E5C9D04-DA13-4CAC-AC08-9FE9332AEBB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anchor>
        </w:drawing>
      </w:r>
      <w:r w:rsidRPr="004F564F">
        <w:rPr>
          <w:noProof/>
          <w:lang w:eastAsia="en-GB"/>
        </w:rPr>
        <mc:AlternateContent>
          <mc:Choice Requires="wps">
            <w:drawing>
              <wp:anchor distT="0" distB="0" distL="114300" distR="114300" simplePos="0" relativeHeight="251824128" behindDoc="0" locked="0" layoutInCell="1" allowOverlap="1" wp14:anchorId="1FFDD5DB" wp14:editId="6801F564">
                <wp:simplePos x="0" y="0"/>
                <wp:positionH relativeFrom="margin">
                  <wp:align>right</wp:align>
                </wp:positionH>
                <wp:positionV relativeFrom="paragraph">
                  <wp:posOffset>2518217</wp:posOffset>
                </wp:positionV>
                <wp:extent cx="5731510" cy="635"/>
                <wp:effectExtent l="0" t="0" r="2540" b="8255"/>
                <wp:wrapNone/>
                <wp:docPr id="21" name="Text Box 79"/>
                <wp:cNvGraphicFramePr/>
                <a:graphic xmlns:a="http://schemas.openxmlformats.org/drawingml/2006/main">
                  <a:graphicData uri="http://schemas.microsoft.com/office/word/2010/wordprocessingShape">
                    <wps:wsp>
                      <wps:cNvSpPr txBox="1"/>
                      <wps:spPr>
                        <a:xfrm>
                          <a:off x="0" y="0"/>
                          <a:ext cx="5731510" cy="635"/>
                        </a:xfrm>
                        <a:prstGeom prst="rect">
                          <a:avLst/>
                        </a:prstGeom>
                        <a:solidFill>
                          <a:prstClr val="white"/>
                        </a:solidFill>
                        <a:ln>
                          <a:noFill/>
                        </a:ln>
                      </wps:spPr>
                      <wps:txbx>
                        <w:txbxContent>
                          <w:p w14:paraId="50B96A32" w14:textId="77777777" w:rsidR="00F527DA" w:rsidRDefault="00F527DA" w:rsidP="00F527DA">
                            <w:pPr>
                              <w:pStyle w:val="Legenda"/>
                              <w:spacing w:after="0"/>
                            </w:pPr>
                            <w:r>
                              <w:t>Figure 6. Solar PV module cost in years 1976 – 2016</w:t>
                            </w:r>
                          </w:p>
                          <w:p w14:paraId="742BE4CA" w14:textId="77777777" w:rsidR="00F527DA" w:rsidRPr="00D2499A" w:rsidRDefault="00F527DA" w:rsidP="00F527DA">
                            <w:r w:rsidRPr="008C4C35">
                              <w:rPr>
                                <w:i/>
                                <w:iCs/>
                                <w:color w:val="44546A" w:themeColor="text2"/>
                                <w:sz w:val="18"/>
                                <w:szCs w:val="18"/>
                              </w:rPr>
                              <w:t>Source:</w:t>
                            </w:r>
                            <w:r>
                              <w:t xml:space="preserve"> </w:t>
                            </w:r>
                            <w:hyperlink r:id="rId20" w:history="1">
                              <w:r w:rsidRPr="008C4C35">
                                <w:rPr>
                                  <w:i/>
                                  <w:iCs/>
                                  <w:color w:val="44546A" w:themeColor="text2"/>
                                  <w:sz w:val="18"/>
                                  <w:szCs w:val="18"/>
                                </w:rPr>
                                <w:t>https://ourworldindata.org/grapher/solar-pv-prices</w:t>
                              </w:r>
                            </w:hyperlink>
                            <w:r>
                              <w:t xml:space="preserve"> </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1FFDD5DB" id="Text Box 79" o:spid="_x0000_s1031" type="#_x0000_t202" style="position:absolute;margin-left:400.1pt;margin-top:198.3pt;width:451.3pt;height:.05pt;z-index:251824128;visibility:visible;mso-wrap-style:squar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" stroked="f">
                <v:textbox style="mso-fit-shape-to-text:t" inset="0,0,0,0">
                  <w:txbxContent>
                    <w:p w14:paraId="50B96A32" w14:textId="77777777" w:rsidR="00F527DA" w:rsidRDefault="00F527DA" w:rsidP="00F527DA">
                      <w:pPr>
                        <w:pStyle w:val="Legenda"/>
                        <w:spacing w:after="0"/>
                      </w:pPr>
                      <w:r>
                        <w:t>Figure 6. Solar PV module cost in years 1976 – 2016</w:t>
                      </w:r>
                    </w:p>
                    <w:p w14:paraId="742BE4CA" w14:textId="77777777" w:rsidR="00F527DA" w:rsidRPr="00D2499A" w:rsidRDefault="00F527DA" w:rsidP="00F527DA">
                      <w:r w:rsidRPr="008C4C35">
                        <w:rPr>
                          <w:i/>
                          <w:iCs/>
                          <w:color w:val="44546A" w:themeColor="text2"/>
                          <w:sz w:val="18"/>
                          <w:szCs w:val="18"/>
                        </w:rPr>
                        <w:t>Source:</w:t>
                      </w:r>
                      <w:r>
                        <w:t xml:space="preserve"> </w:t>
                      </w:r>
                      <w:hyperlink r:id="rId21" w:history="1">
                        <w:r w:rsidRPr="008C4C35">
                          <w:rPr>
                            <w:i/>
                            <w:iCs/>
                            <w:color w:val="44546A" w:themeColor="text2"/>
                            <w:sz w:val="18"/>
                            <w:szCs w:val="18"/>
                          </w:rPr>
                          <w:t>https://ourworldindata.org/grapher/solar-pv-prices</w:t>
                        </w:r>
                      </w:hyperlink>
                      <w:r>
                        <w:t xml:space="preserve"> </w:t>
                      </w:r>
                    </w:p>
                  </w:txbxContent>
                </v:textbox>
                <w10:wrap anchorx="margin"/>
              </v:shape>
            </w:pict>
          </mc:Fallback>
        </mc:AlternateContent>
      </w:r>
      <w:r w:rsidR="00FB38F3" w:rsidRPr="004F564F">
        <w:rPr>
          <w:lang w:val="pl-PL"/>
        </w:rPr>
        <w:br w:type="page"/>
      </w:r>
      <w:r w:rsidRPr="004F564F">
        <w:rPr>
          <w:sz w:val="20"/>
          <w:lang w:val="pl-PL"/>
        </w:rPr>
        <w:lastRenderedPageBreak/>
        <w:t xml:space="preserve"> SLAJD 7</w:t>
      </w:r>
    </w:p>
    <w:p w14:paraId="159E23E5" w14:textId="77777777" w:rsidR="00F527DA" w:rsidRPr="004F564F" w:rsidRDefault="00F527DA" w:rsidP="00F527DA">
      <w:pPr>
        <w:rPr>
          <w:sz w:val="20"/>
          <w:lang w:val="pl-PL"/>
        </w:rPr>
      </w:pPr>
      <w:r w:rsidRPr="004F564F">
        <w:rPr>
          <w:sz w:val="20"/>
          <w:lang w:val="pl-PL"/>
        </w:rPr>
        <w:t>Energia słoneczna - zatrudnienie i produkcja</w:t>
      </w:r>
    </w:p>
    <w:p w14:paraId="6ED3B260" w14:textId="77777777" w:rsidR="00F527DA" w:rsidRPr="004F564F" w:rsidRDefault="00F527DA" w:rsidP="00F527DA">
      <w:pPr>
        <w:rPr>
          <w:sz w:val="20"/>
          <w:lang w:val="pl-PL"/>
        </w:rPr>
      </w:pPr>
    </w:p>
    <w:p w14:paraId="4A6EF0D4" w14:textId="77777777" w:rsidR="00F527DA" w:rsidRPr="004F564F" w:rsidRDefault="00F527DA" w:rsidP="00F527DA">
      <w:pPr>
        <w:rPr>
          <w:sz w:val="20"/>
          <w:lang w:val="pl-PL"/>
        </w:rPr>
      </w:pPr>
      <w:r w:rsidRPr="004F564F">
        <w:rPr>
          <w:sz w:val="20"/>
          <w:lang w:val="pl-PL"/>
        </w:rPr>
        <w:t>Fo</w:t>
      </w:r>
      <w:r w:rsidR="00DA1736" w:rsidRPr="004F564F">
        <w:rPr>
          <w:sz w:val="20"/>
          <w:lang w:val="pl-PL"/>
        </w:rPr>
        <w:t>towoltaika słoneczna w 2018 r. była</w:t>
      </w:r>
      <w:r w:rsidRPr="004F564F">
        <w:rPr>
          <w:sz w:val="20"/>
          <w:lang w:val="pl-PL"/>
        </w:rPr>
        <w:t xml:space="preserve"> bezpośrednio </w:t>
      </w:r>
      <w:r w:rsidR="00DA1736" w:rsidRPr="004F564F">
        <w:rPr>
          <w:sz w:val="20"/>
          <w:lang w:val="pl-PL"/>
        </w:rPr>
        <w:t xml:space="preserve">związana z </w:t>
      </w:r>
      <w:r w:rsidRPr="004F564F">
        <w:rPr>
          <w:sz w:val="20"/>
          <w:lang w:val="pl-PL"/>
        </w:rPr>
        <w:t>około 3,6 mln miejsc</w:t>
      </w:r>
      <w:r w:rsidR="00DA1736" w:rsidRPr="004F564F">
        <w:rPr>
          <w:sz w:val="20"/>
          <w:lang w:val="pl-PL"/>
        </w:rPr>
        <w:t>ami</w:t>
      </w:r>
      <w:r w:rsidRPr="004F564F">
        <w:rPr>
          <w:sz w:val="20"/>
          <w:lang w:val="pl-PL"/>
        </w:rPr>
        <w:t xml:space="preserve"> pracy. Ponownie, podobnie jak w różnych sektorach, największym pracodawcą są Chiny z ponad 60% wszystkich miejsc pracy w sektorze energii słonecznej na świecie. Chiny są nie tylko największym rynkiem instalacyjnym na świecie, ale także wiodącym producentem urządzeń fotowoltaicznych.</w:t>
      </w:r>
    </w:p>
    <w:p w14:paraId="1D19DAD8" w14:textId="77777777" w:rsidR="00F527DA" w:rsidRPr="004F564F" w:rsidRDefault="00F527DA" w:rsidP="00F527DA">
      <w:pPr>
        <w:rPr>
          <w:sz w:val="20"/>
          <w:lang w:val="pl-PL"/>
        </w:rPr>
      </w:pPr>
    </w:p>
    <w:p w14:paraId="03ED648B" w14:textId="77777777" w:rsidR="00A37FDF" w:rsidRPr="004F564F" w:rsidRDefault="00DA1736" w:rsidP="00F527DA">
      <w:pPr>
        <w:rPr>
          <w:sz w:val="20"/>
          <w:lang w:val="pl-PL"/>
        </w:rPr>
      </w:pPr>
      <w:r w:rsidRPr="004F564F">
        <w:rPr>
          <w:sz w:val="20"/>
          <w:lang w:val="pl-PL"/>
        </w:rPr>
        <w:t>W 2017 r. e</w:t>
      </w:r>
      <w:r w:rsidR="00F527DA" w:rsidRPr="004F564F">
        <w:rPr>
          <w:sz w:val="20"/>
          <w:lang w:val="pl-PL"/>
        </w:rPr>
        <w:t>nergia słoneczna stanowiła 7% globalnej energii odnawialnej, ale szybko rośnie ze względu na niższe koszty instalacji i produkcji. Wiodącym regionem w produkcji energii słonecznej jest Azja, a Europa zajmuje drugie miejsce.</w:t>
      </w:r>
    </w:p>
    <w:p w14:paraId="4536D454" w14:textId="77777777" w:rsidR="00DA1736" w:rsidRPr="004F564F" w:rsidRDefault="00DA1736" w:rsidP="00DA1736">
      <w:pPr>
        <w:rPr>
          <w:noProof/>
          <w:lang w:val="pl-PL"/>
        </w:rPr>
      </w:pPr>
    </w:p>
    <w:p w14:paraId="637C7E51" w14:textId="77777777" w:rsidR="00DA1736" w:rsidRPr="004F564F" w:rsidRDefault="00DA1736" w:rsidP="00DA1736">
      <w:pPr>
        <w:rPr>
          <w:noProof/>
          <w:lang w:val="pl-PL"/>
        </w:rPr>
      </w:pPr>
      <w:r w:rsidRPr="004F564F">
        <w:rPr>
          <w:noProof/>
          <w:lang w:val="pl-PL"/>
        </w:rPr>
        <w:t>SLAJD 8</w:t>
      </w:r>
    </w:p>
    <w:p w14:paraId="3A06E788" w14:textId="77777777" w:rsidR="00DA1736" w:rsidRPr="004F564F" w:rsidRDefault="00DA1736" w:rsidP="00DA1736">
      <w:pPr>
        <w:rPr>
          <w:noProof/>
          <w:lang w:val="pl-PL"/>
        </w:rPr>
      </w:pPr>
      <w:r w:rsidRPr="004F564F">
        <w:rPr>
          <w:noProof/>
          <w:lang w:val="pl-PL"/>
        </w:rPr>
        <w:t xml:space="preserve">Bioenergia </w:t>
      </w:r>
    </w:p>
    <w:p w14:paraId="35ED1AC8" w14:textId="77777777" w:rsidR="00DA1736" w:rsidRPr="004F564F" w:rsidRDefault="00DA1736" w:rsidP="00DA1736">
      <w:pPr>
        <w:rPr>
          <w:noProof/>
          <w:lang w:val="pl-PL"/>
        </w:rPr>
      </w:pPr>
      <w:r w:rsidRPr="004F564F">
        <w:rPr>
          <w:noProof/>
          <w:lang w:val="pl-PL"/>
        </w:rPr>
        <w:t>Wykorzystanie bioenergii można podzielić na dwie główne kategorie: „tradycyjne” i „nowoczesne”. Tradycyjne zastosowanie odnosi się do spalania biomasy w takich postaciach, jak drewno, odpady zwierzęce i tradycyjny węgiel drzewny. Nowoczesne technologie bioenergetyczne obejmują biopaliwa płynne wytwarzane z wytłoczyny z trzciny cukrowej i innych roślin; biorafinerie; biogaz powstały w wyniku beztlenowego rozkładu pozostałości; systemy ogrzewania na pellet drzewny; i inne technologie.</w:t>
      </w:r>
      <w:r w:rsidRPr="004F564F">
        <w:rPr>
          <w:sz w:val="20"/>
          <w:lang w:val="pl-PL"/>
        </w:rPr>
        <w:t xml:space="preserve"> .</w:t>
      </w:r>
      <w:r w:rsidRPr="004F564F">
        <w:rPr>
          <w:rStyle w:val="Odwoanieprzypisudolnego"/>
          <w:sz w:val="20"/>
        </w:rPr>
        <w:footnoteReference w:id="5"/>
      </w:r>
    </w:p>
    <w:p w14:paraId="64294458" w14:textId="77777777" w:rsidR="00DA1736" w:rsidRPr="004F564F" w:rsidRDefault="00DA1736" w:rsidP="00DA1736">
      <w:pPr>
        <w:rPr>
          <w:noProof/>
          <w:lang w:val="pl-PL"/>
        </w:rPr>
      </w:pPr>
    </w:p>
    <w:p w14:paraId="1E2FCE12" w14:textId="77777777" w:rsidR="003D3F4D" w:rsidRPr="004F564F" w:rsidRDefault="00DA1736" w:rsidP="00DA1736">
      <w:pPr>
        <w:rPr>
          <w:sz w:val="20"/>
          <w:lang w:val="pl-PL"/>
        </w:rPr>
      </w:pPr>
      <w:r w:rsidRPr="004F564F">
        <w:rPr>
          <w:noProof/>
          <w:lang w:val="pl-PL"/>
        </w:rPr>
        <w:t>Większość bioenergii pochodzi z lasów, gospodarstw rolnych i odpadów. Surowce hodowane są przez gospodarstwa specjalnie do wykorzystania jako źródło energii. Zwykłe uprawy obejmują skrobię lub rośliny na bazie cukru, takie jak trzcina cukrowa lub kukurydza.</w:t>
      </w:r>
      <w:r w:rsidRPr="004F564F">
        <w:rPr>
          <w:sz w:val="20"/>
          <w:lang w:val="pl-PL"/>
        </w:rPr>
        <w:t xml:space="preserve"> .</w:t>
      </w:r>
      <w:r w:rsidRPr="004F564F">
        <w:rPr>
          <w:rStyle w:val="Odwoanieprzypisudolnego"/>
          <w:sz w:val="20"/>
        </w:rPr>
        <w:footnoteReference w:id="6"/>
      </w:r>
    </w:p>
    <w:p w14:paraId="2B0143CF" w14:textId="77777777" w:rsidR="00DA1736" w:rsidRPr="004F564F" w:rsidRDefault="00DA1736" w:rsidP="00DA1736">
      <w:pPr>
        <w:rPr>
          <w:noProof/>
          <w:lang w:val="pl-PL"/>
        </w:rPr>
      </w:pPr>
    </w:p>
    <w:p w14:paraId="6A9329AC" w14:textId="77777777" w:rsidR="00DA1736" w:rsidRPr="004F564F" w:rsidRDefault="00DA1736" w:rsidP="00DA1736">
      <w:pPr>
        <w:rPr>
          <w:noProof/>
          <w:lang w:val="pl-PL"/>
        </w:rPr>
      </w:pPr>
      <w:r w:rsidRPr="004F564F">
        <w:rPr>
          <w:noProof/>
          <w:lang w:val="pl-PL"/>
        </w:rPr>
        <w:t>SLAJD 9</w:t>
      </w:r>
    </w:p>
    <w:p w14:paraId="2AB2A4A5" w14:textId="77777777" w:rsidR="00DA1736" w:rsidRPr="004F564F" w:rsidRDefault="00DA1736" w:rsidP="00DA1736">
      <w:pPr>
        <w:rPr>
          <w:noProof/>
          <w:lang w:val="pl-PL"/>
        </w:rPr>
      </w:pPr>
      <w:r w:rsidRPr="004F564F">
        <w:rPr>
          <w:noProof/>
          <w:lang w:val="pl-PL"/>
        </w:rPr>
        <w:t>Bioenergia - zatrudnienie i produkcja</w:t>
      </w:r>
    </w:p>
    <w:p w14:paraId="22631CC5" w14:textId="77777777" w:rsidR="00DA1736" w:rsidRPr="004F564F" w:rsidRDefault="00DA1736" w:rsidP="00DA1736">
      <w:pPr>
        <w:rPr>
          <w:noProof/>
          <w:lang w:val="pl-PL"/>
        </w:rPr>
      </w:pPr>
    </w:p>
    <w:p w14:paraId="4F536857" w14:textId="77777777" w:rsidR="002034F6" w:rsidRPr="004F564F" w:rsidRDefault="00DA1736" w:rsidP="00DA1736">
      <w:pPr>
        <w:rPr>
          <w:noProof/>
          <w:lang w:val="pl-PL"/>
        </w:rPr>
      </w:pPr>
      <w:r w:rsidRPr="004F564F">
        <w:rPr>
          <w:noProof/>
          <w:lang w:val="pl-PL"/>
        </w:rPr>
        <w:t xml:space="preserve">Według bazy danych IRENA najczęstszą bioenergią jest biomasa stała. Sektor bioenergii był odpowiedzialny za 8% całkowitej energii odnawialnej. Średnia stopa wzrostu od 2011 r. utrzymuje się na poziomie 8% rocznie i jest na drodze, aby zrealizować scenariusz zrównoważonego rozwoju w 2030 r. </w:t>
      </w:r>
    </w:p>
    <w:p w14:paraId="4DD6A2FA" w14:textId="77777777" w:rsidR="00DA1736" w:rsidRPr="004F564F" w:rsidRDefault="00DA1736">
      <w:pPr>
        <w:rPr>
          <w:sz w:val="20"/>
          <w:lang w:val="pl-PL"/>
        </w:rPr>
      </w:pPr>
      <w:r w:rsidRPr="004F564F">
        <w:rPr>
          <w:sz w:val="20"/>
          <w:lang w:val="pl-PL"/>
        </w:rPr>
        <w:br w:type="page"/>
      </w:r>
    </w:p>
    <w:p w14:paraId="3E3734B3" w14:textId="77777777" w:rsidR="00835784" w:rsidRPr="004F564F" w:rsidRDefault="00835784">
      <w:pPr>
        <w:rPr>
          <w:sz w:val="20"/>
          <w:lang w:val="pl-PL"/>
        </w:rPr>
      </w:pPr>
      <w:r w:rsidRPr="004F564F">
        <w:rPr>
          <w:noProof/>
          <w:lang w:eastAsia="en-GB"/>
        </w:rPr>
        <w:lastRenderedPageBreak/>
        <w:drawing>
          <wp:anchor distT="0" distB="0" distL="114300" distR="114300" simplePos="0" relativeHeight="251778048" behindDoc="0" locked="0" layoutInCell="1" allowOverlap="1" wp14:anchorId="2E2FFE6E" wp14:editId="02409A88">
            <wp:simplePos x="0" y="0"/>
            <wp:positionH relativeFrom="column">
              <wp:posOffset>0</wp:posOffset>
            </wp:positionH>
            <wp:positionV relativeFrom="paragraph">
              <wp:posOffset>2011</wp:posOffset>
            </wp:positionV>
            <wp:extent cx="4572000" cy="2743200"/>
            <wp:effectExtent l="0" t="0" r="0" b="0"/>
            <wp:wrapNone/>
            <wp:docPr id="82" name="Chart 82">
              <a:extLst xmlns:a="http://schemas.openxmlformats.org/drawingml/2006/main">
                <a:ext uri="{FF2B5EF4-FFF2-40B4-BE49-F238E27FC236}">
                  <a16:creationId xmlns:a16="http://schemas.microsoft.com/office/drawing/2014/main" id="{1DDC3E23-E4DE-41D0-9BFB-DD74A41FA4C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anchor>
        </w:drawing>
      </w:r>
    </w:p>
    <w:p w14:paraId="66ED95BC" w14:textId="77777777" w:rsidR="00DA1736" w:rsidRPr="004F564F" w:rsidRDefault="00835784" w:rsidP="00DA1736">
      <w:pPr>
        <w:rPr>
          <w:sz w:val="20"/>
          <w:lang w:val="pl-PL"/>
        </w:rPr>
      </w:pPr>
      <w:r w:rsidRPr="004F564F">
        <w:rPr>
          <w:noProof/>
          <w:sz w:val="20"/>
          <w:lang w:eastAsia="en-GB"/>
        </w:rPr>
        <mc:AlternateContent>
          <mc:Choice Requires="wps">
            <w:drawing>
              <wp:anchor distT="0" distB="0" distL="114300" distR="114300" simplePos="0" relativeHeight="251780096" behindDoc="0" locked="0" layoutInCell="1" allowOverlap="1" wp14:anchorId="0374FB59" wp14:editId="39DB31B1">
                <wp:simplePos x="0" y="0"/>
                <wp:positionH relativeFrom="column">
                  <wp:posOffset>0</wp:posOffset>
                </wp:positionH>
                <wp:positionV relativeFrom="paragraph">
                  <wp:posOffset>2466036</wp:posOffset>
                </wp:positionV>
                <wp:extent cx="5264150" cy="327704"/>
                <wp:effectExtent l="0" t="0" r="0" b="0"/>
                <wp:wrapNone/>
                <wp:docPr id="83" name="Text Box 83"/>
                <wp:cNvGraphicFramePr/>
                <a:graphic xmlns:a="http://schemas.openxmlformats.org/drawingml/2006/main">
                  <a:graphicData uri="http://schemas.microsoft.com/office/word/2010/wordprocessingShape">
                    <wps:wsp>
                      <wps:cNvSpPr txBox="1"/>
                      <wps:spPr>
                        <a:xfrm>
                          <a:off x="0" y="0"/>
                          <a:ext cx="5264150" cy="327704"/>
                        </a:xfrm>
                        <a:prstGeom prst="rect">
                          <a:avLst/>
                        </a:prstGeom>
                        <a:solidFill>
                          <a:prstClr val="white"/>
                        </a:solidFill>
                        <a:ln>
                          <a:noFill/>
                        </a:ln>
                      </wps:spPr>
                      <wps:txbx>
                        <w:txbxContent>
                          <w:p w14:paraId="1F900511" w14:textId="77777777" w:rsidR="00835784" w:rsidRDefault="00835784" w:rsidP="00835784">
                            <w:pPr>
                              <w:pStyle w:val="Legenda"/>
                              <w:spacing w:after="0"/>
                            </w:pPr>
                            <w:r>
                              <w:t>Figure 8. Biofuel production by region</w:t>
                            </w:r>
                          </w:p>
                          <w:p w14:paraId="731F228E" w14:textId="77777777" w:rsidR="00835784" w:rsidRPr="00644A02" w:rsidRDefault="00835784" w:rsidP="00835784">
                            <w:pPr>
                              <w:spacing w:after="0"/>
                            </w:pPr>
                            <w:r w:rsidRPr="00644A02">
                              <w:rPr>
                                <w:i/>
                                <w:iCs/>
                                <w:color w:val="44546A" w:themeColor="text2"/>
                                <w:sz w:val="18"/>
                                <w:szCs w:val="18"/>
                              </w:rPr>
                              <w:t xml:space="preserve">Source: </w:t>
                            </w:r>
                            <w:hyperlink r:id="rId23" w:history="1">
                              <w:r w:rsidRPr="00835784">
                                <w:rPr>
                                  <w:i/>
                                  <w:iCs/>
                                  <w:color w:val="44546A" w:themeColor="text2"/>
                                  <w:sz w:val="18"/>
                                  <w:szCs w:val="18"/>
                                </w:rPr>
                                <w:t>https://ourworldindata.org/renewable-energy</w:t>
                              </w:r>
                            </w:hyperlink>
                            <w:r w:rsidRPr="00835784">
                              <w:rPr>
                                <w:i/>
                                <w:iCs/>
                                <w:color w:val="44546A" w:themeColor="text2"/>
                                <w:sz w:val="18"/>
                                <w:szCs w:val="18"/>
                              </w:rPr>
                              <w:t xml:space="preserve"> </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374FB59" id="Text Box 83" o:spid="_x0000_s1032" type="#_x0000_t202" style="position:absolute;margin-left:0;margin-top:194.2pt;width:414.5pt;height:25.8pt;z-index:2517800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" stroked="f">
                <v:textbox inset="0,0,0,0">
                  <w:txbxContent>
                    <w:p w14:paraId="1F900511" w14:textId="77777777" w:rsidR="00835784" w:rsidRDefault="00835784" w:rsidP="00835784">
                      <w:pPr>
                        <w:pStyle w:val="Legenda"/>
                        <w:spacing w:after="0"/>
                      </w:pPr>
                      <w:r>
                        <w:t>Figure 8. Biofuel production by region</w:t>
                      </w:r>
                    </w:p>
                    <w:p w14:paraId="731F228E" w14:textId="77777777" w:rsidR="00835784" w:rsidRPr="00644A02" w:rsidRDefault="00835784" w:rsidP="00835784">
                      <w:pPr>
                        <w:spacing w:after="0"/>
                      </w:pPr>
                      <w:r w:rsidRPr="00644A02">
                        <w:rPr>
                          <w:i/>
                          <w:iCs/>
                          <w:color w:val="44546A" w:themeColor="text2"/>
                          <w:sz w:val="18"/>
                          <w:szCs w:val="18"/>
                        </w:rPr>
                        <w:t xml:space="preserve">Source: </w:t>
                      </w:r>
                      <w:hyperlink r:id="rId24" w:history="1">
                        <w:r w:rsidRPr="00835784">
                          <w:rPr>
                            <w:i/>
                            <w:iCs/>
                            <w:color w:val="44546A" w:themeColor="text2"/>
                            <w:sz w:val="18"/>
                            <w:szCs w:val="18"/>
                          </w:rPr>
                          <w:t>https://ourworldindata.org/renewable-energy</w:t>
                        </w:r>
                      </w:hyperlink>
                      <w:r w:rsidRPr="00835784">
                        <w:rPr>
                          <w:i/>
                          <w:iCs/>
                          <w:color w:val="44546A" w:themeColor="text2"/>
                          <w:sz w:val="18"/>
                          <w:szCs w:val="18"/>
                        </w:rPr>
                        <w:t xml:space="preserve"> </w:t>
                      </w:r>
                    </w:p>
                  </w:txbxContent>
                </v:textbox>
              </v:shape>
            </w:pict>
          </mc:Fallback>
        </mc:AlternateContent>
      </w:r>
    </w:p>
    <w:p w14:paraId="43963DEA" w14:textId="77777777" w:rsidR="00DA1736" w:rsidRPr="004F564F" w:rsidRDefault="00DA1736" w:rsidP="00DA1736">
      <w:pPr>
        <w:rPr>
          <w:sz w:val="20"/>
          <w:lang w:val="pl-PL"/>
        </w:rPr>
      </w:pPr>
    </w:p>
    <w:p w14:paraId="75D21412" w14:textId="77777777" w:rsidR="00DA1736" w:rsidRPr="004F564F" w:rsidRDefault="00DA1736" w:rsidP="00DA1736">
      <w:pPr>
        <w:rPr>
          <w:sz w:val="20"/>
          <w:lang w:val="pl-PL"/>
        </w:rPr>
      </w:pPr>
    </w:p>
    <w:p w14:paraId="1758DD1E" w14:textId="77777777" w:rsidR="00DA1736" w:rsidRPr="004F564F" w:rsidRDefault="00DA1736" w:rsidP="00DA1736">
      <w:pPr>
        <w:rPr>
          <w:sz w:val="20"/>
          <w:lang w:val="pl-PL"/>
        </w:rPr>
      </w:pPr>
    </w:p>
    <w:p w14:paraId="47279500" w14:textId="77777777" w:rsidR="00DA1736" w:rsidRPr="004F564F" w:rsidRDefault="00DA1736" w:rsidP="00DA1736">
      <w:pPr>
        <w:rPr>
          <w:sz w:val="20"/>
          <w:lang w:val="pl-PL"/>
        </w:rPr>
      </w:pPr>
    </w:p>
    <w:p w14:paraId="548BF751" w14:textId="77777777" w:rsidR="00DA1736" w:rsidRPr="004F564F" w:rsidRDefault="00DA1736" w:rsidP="00DA1736">
      <w:pPr>
        <w:rPr>
          <w:sz w:val="20"/>
          <w:lang w:val="pl-PL"/>
        </w:rPr>
      </w:pPr>
    </w:p>
    <w:p w14:paraId="189BC1DC" w14:textId="77777777" w:rsidR="00DA1736" w:rsidRPr="004F564F" w:rsidRDefault="00DA1736" w:rsidP="00DA1736">
      <w:pPr>
        <w:rPr>
          <w:sz w:val="20"/>
          <w:lang w:val="pl-PL"/>
        </w:rPr>
      </w:pPr>
    </w:p>
    <w:p w14:paraId="2A68C9D3" w14:textId="77777777" w:rsidR="00DA1736" w:rsidRPr="004F564F" w:rsidRDefault="00DA1736" w:rsidP="00DA1736">
      <w:pPr>
        <w:rPr>
          <w:sz w:val="20"/>
          <w:lang w:val="pl-PL"/>
        </w:rPr>
      </w:pPr>
    </w:p>
    <w:p w14:paraId="11136046" w14:textId="77777777" w:rsidR="00DA1736" w:rsidRPr="004F564F" w:rsidRDefault="00DA1736" w:rsidP="00DA1736">
      <w:pPr>
        <w:rPr>
          <w:sz w:val="20"/>
          <w:lang w:val="pl-PL"/>
        </w:rPr>
      </w:pPr>
    </w:p>
    <w:p w14:paraId="2F610EE2" w14:textId="77777777" w:rsidR="00DA1736" w:rsidRPr="004F564F" w:rsidRDefault="00DA1736" w:rsidP="00DA1736">
      <w:pPr>
        <w:rPr>
          <w:sz w:val="20"/>
          <w:lang w:val="pl-PL"/>
        </w:rPr>
      </w:pPr>
    </w:p>
    <w:p w14:paraId="3984C972" w14:textId="77777777" w:rsidR="00DA1736" w:rsidRPr="004F564F" w:rsidRDefault="00DA1736" w:rsidP="00DA1736">
      <w:pPr>
        <w:rPr>
          <w:sz w:val="20"/>
          <w:lang w:val="pl-PL"/>
        </w:rPr>
      </w:pPr>
    </w:p>
    <w:p w14:paraId="3630EFFC" w14:textId="77777777" w:rsidR="00DA1736" w:rsidRPr="004F564F" w:rsidRDefault="00DA1736" w:rsidP="00DA1736">
      <w:pPr>
        <w:rPr>
          <w:sz w:val="20"/>
          <w:lang w:val="pl-PL"/>
        </w:rPr>
      </w:pPr>
      <w:r w:rsidRPr="004F564F">
        <w:rPr>
          <w:sz w:val="20"/>
          <w:lang w:val="pl-PL"/>
        </w:rPr>
        <w:t>SLAJD 10</w:t>
      </w:r>
    </w:p>
    <w:p w14:paraId="0E735AA9" w14:textId="77777777" w:rsidR="00DA1736" w:rsidRPr="004F564F" w:rsidRDefault="00DA1736" w:rsidP="00DA1736">
      <w:pPr>
        <w:rPr>
          <w:sz w:val="20"/>
          <w:lang w:val="pl-PL"/>
        </w:rPr>
      </w:pPr>
      <w:r w:rsidRPr="004F564F">
        <w:rPr>
          <w:sz w:val="20"/>
          <w:lang w:val="pl-PL"/>
        </w:rPr>
        <w:t xml:space="preserve">Energia geotermalna </w:t>
      </w:r>
    </w:p>
    <w:p w14:paraId="7A69BD23" w14:textId="77777777" w:rsidR="00DA1736" w:rsidRPr="004F564F" w:rsidRDefault="00DA1736" w:rsidP="00DA1736">
      <w:pPr>
        <w:rPr>
          <w:sz w:val="20"/>
          <w:lang w:val="pl-PL"/>
        </w:rPr>
      </w:pPr>
    </w:p>
    <w:p w14:paraId="4589ED50" w14:textId="77777777" w:rsidR="00DA1736" w:rsidRPr="004F564F" w:rsidRDefault="00DA1736" w:rsidP="00DA1736">
      <w:pPr>
        <w:rPr>
          <w:sz w:val="20"/>
        </w:rPr>
      </w:pPr>
      <w:r w:rsidRPr="004F564F">
        <w:rPr>
          <w:sz w:val="20"/>
          <w:lang w:val="pl-PL"/>
        </w:rPr>
        <w:t>Zasoby geotermalne to zbiorniki ciepłej wody, które występują w różnych temperaturach i na różnych głębokościach pod powierzchnią Ziemi. Mila pod ziemią lub nawet głębiej, studnie mogą być wiercone w podziemnych zbiornikach w celu czerpania pary i bardzo gorącej wody, którą można wydobyć na powierzchnię aby, wytworzyć energię elektryczną, użyć bezpośrednio oraz ogrzewać i chłodzić.</w:t>
      </w:r>
      <w:r w:rsidRPr="004F564F">
        <w:rPr>
          <w:rStyle w:val="Odwoanieprzypisudolnego"/>
          <w:sz w:val="20"/>
        </w:rPr>
        <w:t xml:space="preserve"> </w:t>
      </w:r>
      <w:r w:rsidRPr="004F564F">
        <w:rPr>
          <w:rStyle w:val="Odwoanieprzypisudolnego"/>
          <w:sz w:val="20"/>
        </w:rPr>
        <w:footnoteReference w:id="7"/>
      </w:r>
    </w:p>
    <w:p w14:paraId="5761EACE" w14:textId="77777777" w:rsidR="00C936A4" w:rsidRPr="004F564F" w:rsidRDefault="00C936A4" w:rsidP="00C936A4">
      <w:pPr>
        <w:rPr>
          <w:sz w:val="20"/>
          <w:lang w:val="pl-PL"/>
        </w:rPr>
      </w:pPr>
      <w:r w:rsidRPr="004F564F">
        <w:rPr>
          <w:sz w:val="20"/>
          <w:lang w:val="pl-PL"/>
        </w:rPr>
        <w:t>Główne zalety:</w:t>
      </w:r>
      <w:r w:rsidRPr="004F564F">
        <w:rPr>
          <w:rStyle w:val="Odwoanieprzypisudolnego"/>
          <w:sz w:val="20"/>
          <w:lang w:val="pl-PL"/>
        </w:rPr>
        <w:t xml:space="preserve"> </w:t>
      </w:r>
      <w:r w:rsidRPr="004F564F">
        <w:rPr>
          <w:rStyle w:val="Odwoanieprzypisudolnego"/>
          <w:sz w:val="20"/>
        </w:rPr>
        <w:footnoteReference w:id="8"/>
      </w:r>
    </w:p>
    <w:p w14:paraId="6279CB62" w14:textId="77777777" w:rsidR="00C936A4" w:rsidRPr="004F564F" w:rsidRDefault="00C936A4" w:rsidP="00C936A4">
      <w:pPr>
        <w:rPr>
          <w:sz w:val="20"/>
          <w:lang w:val="pl-PL"/>
        </w:rPr>
      </w:pPr>
      <w:r w:rsidRPr="004F564F">
        <w:rPr>
          <w:sz w:val="20"/>
          <w:lang w:val="pl-PL"/>
        </w:rPr>
        <w:t>• Odnawialna - Poprzez właściwe zarządzanie zasobnikiem, szybkość pozyskiwania energii można zrównoważyć za pomocą naturalnego współczynnika ładowania ciepła ze zbiornika.</w:t>
      </w:r>
    </w:p>
    <w:p w14:paraId="757C53AD" w14:textId="77777777" w:rsidR="00C936A4" w:rsidRPr="004F564F" w:rsidRDefault="00C936A4" w:rsidP="00C936A4">
      <w:pPr>
        <w:rPr>
          <w:sz w:val="20"/>
          <w:lang w:val="pl-PL"/>
        </w:rPr>
      </w:pPr>
      <w:r w:rsidRPr="004F564F">
        <w:rPr>
          <w:sz w:val="20"/>
          <w:lang w:val="pl-PL"/>
        </w:rPr>
        <w:t>• Obciążenie podstawowe - elektrownie geotermalne wytwarzają energię elektryczną w sposób ciągły, pracując 24 godziny na dobę / 7 dni w tygodniu, niezależnie od warunków pogodowych.</w:t>
      </w:r>
    </w:p>
    <w:p w14:paraId="3DA31553" w14:textId="77777777" w:rsidR="00C936A4" w:rsidRPr="004F564F" w:rsidRDefault="00C936A4" w:rsidP="00C936A4">
      <w:pPr>
        <w:rPr>
          <w:sz w:val="20"/>
          <w:lang w:val="pl-PL"/>
        </w:rPr>
      </w:pPr>
      <w:r w:rsidRPr="004F564F">
        <w:rPr>
          <w:sz w:val="20"/>
          <w:lang w:val="pl-PL"/>
        </w:rPr>
        <w:t>• Mały ślad - elektrownie geotermalne zużywają mniej ziemi na GWh niż elektrownie węglowe, wiatrowe i słoneczne</w:t>
      </w:r>
    </w:p>
    <w:p w14:paraId="3475E632" w14:textId="77777777" w:rsidR="00C936A4" w:rsidRPr="004F564F" w:rsidRDefault="00C936A4" w:rsidP="00C936A4">
      <w:pPr>
        <w:rPr>
          <w:sz w:val="20"/>
          <w:lang w:val="pl-PL"/>
        </w:rPr>
      </w:pPr>
      <w:r w:rsidRPr="004F564F">
        <w:rPr>
          <w:sz w:val="20"/>
          <w:lang w:val="pl-PL"/>
        </w:rPr>
        <w:t>• Czyste - nowoczesne elektrownie geotermalne o zamkniętej pętli nie emitują gazów cieplarnianych</w:t>
      </w:r>
    </w:p>
    <w:p w14:paraId="2A0CEC39" w14:textId="77777777" w:rsidR="00C936A4" w:rsidRPr="004F564F" w:rsidRDefault="00C936A4" w:rsidP="00C936A4">
      <w:pPr>
        <w:spacing w:after="0"/>
        <w:rPr>
          <w:sz w:val="20"/>
        </w:rPr>
      </w:pPr>
    </w:p>
    <w:p w14:paraId="4CCF1B4D" w14:textId="77777777" w:rsidR="00C936A4" w:rsidRPr="004F564F" w:rsidRDefault="00C936A4" w:rsidP="00C936A4">
      <w:pPr>
        <w:spacing w:after="0"/>
        <w:rPr>
          <w:sz w:val="20"/>
          <w:lang w:val="pl-PL"/>
        </w:rPr>
      </w:pPr>
      <w:r w:rsidRPr="004F564F">
        <w:rPr>
          <w:sz w:val="20"/>
          <w:lang w:val="pl-PL"/>
        </w:rPr>
        <w:t>Aby wytworzyć elektryczność, potrzebny jest płyn, ciepło i przepuszczalność. Konwencjonalne zasoby hydrotermalne zawierają wszystkie trzy składniki naturalnie. Tego rodzaju systemy geotermalne mogą występować w bardzo różnorodnych warunkach geologicznych, czasem bez wyraźnych przejawów powierzchniowych zasobów.</w:t>
      </w:r>
    </w:p>
    <w:p w14:paraId="40573596" w14:textId="77777777" w:rsidR="00C936A4" w:rsidRPr="004F564F" w:rsidRDefault="00C936A4" w:rsidP="00C936A4">
      <w:pPr>
        <w:spacing w:after="0"/>
        <w:rPr>
          <w:sz w:val="20"/>
          <w:lang w:val="pl-PL"/>
        </w:rPr>
      </w:pPr>
      <w:r w:rsidRPr="004F564F">
        <w:rPr>
          <w:sz w:val="20"/>
          <w:lang w:val="pl-PL"/>
        </w:rPr>
        <w:t>Główne ryzyko związane z instalacją wiąże się z zawodnym pomiarem temperatury na głębokości powierzchni. Także charakterystyka podpowierzchniowa ma kluczowe znaczenie dla efektywnego wykorzystania zasobów geotermalnych. Głównym graczem na rynku energii geotermalnej są Stany Zjednoczone (patrz rysunek 9).</w:t>
      </w:r>
    </w:p>
    <w:p w14:paraId="6CAF8272" w14:textId="77777777" w:rsidR="00C936A4" w:rsidRPr="004F564F" w:rsidRDefault="00C936A4" w:rsidP="00E42F88">
      <w:pPr>
        <w:pStyle w:val="Akapitzlist"/>
        <w:spacing w:after="240"/>
        <w:ind w:left="0"/>
        <w:jc w:val="both"/>
        <w:rPr>
          <w:sz w:val="20"/>
        </w:rPr>
      </w:pPr>
    </w:p>
    <w:p w14:paraId="242C5025" w14:textId="77777777" w:rsidR="00695B26" w:rsidRPr="004F564F" w:rsidRDefault="00711E73" w:rsidP="00E42F88">
      <w:pPr>
        <w:pStyle w:val="Akapitzlist"/>
        <w:spacing w:after="240"/>
        <w:ind w:left="0"/>
        <w:jc w:val="both"/>
        <w:rPr>
          <w:sz w:val="20"/>
        </w:rPr>
      </w:pPr>
      <w:r w:rsidRPr="004F564F">
        <w:rPr>
          <w:noProof/>
          <w:lang w:eastAsia="en-GB"/>
        </w:rPr>
        <w:drawing>
          <wp:anchor distT="0" distB="0" distL="114300" distR="114300" simplePos="0" relativeHeight="251781120" behindDoc="0" locked="0" layoutInCell="1" allowOverlap="1" wp14:anchorId="290E3227" wp14:editId="20A6CB13">
            <wp:simplePos x="0" y="0"/>
            <wp:positionH relativeFrom="column">
              <wp:posOffset>0</wp:posOffset>
            </wp:positionH>
            <wp:positionV relativeFrom="paragraph">
              <wp:posOffset>37876</wp:posOffset>
            </wp:positionV>
            <wp:extent cx="4582289" cy="2754052"/>
            <wp:effectExtent l="0" t="0" r="8890" b="8255"/>
            <wp:wrapNone/>
            <wp:docPr id="84" name="Chart 84">
              <a:extLst xmlns:a="http://schemas.openxmlformats.org/drawingml/2006/main">
                <a:ext uri="{FF2B5EF4-FFF2-40B4-BE49-F238E27FC236}">
                  <a16:creationId xmlns:a16="http://schemas.microsoft.com/office/drawing/2014/main" id="{8154BA94-7F5B-4B0D-9A4E-765C02CED62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anchor>
        </w:drawing>
      </w:r>
    </w:p>
    <w:p w14:paraId="530B5150" w14:textId="77777777" w:rsidR="00695B26" w:rsidRPr="004F564F" w:rsidRDefault="00695B26" w:rsidP="00564EAF">
      <w:pPr>
        <w:spacing w:after="0"/>
        <w:rPr>
          <w:sz w:val="20"/>
        </w:rPr>
      </w:pPr>
    </w:p>
    <w:p w14:paraId="743B5AE7" w14:textId="77777777" w:rsidR="00695B26" w:rsidRPr="004F564F" w:rsidRDefault="00695B26" w:rsidP="00564EAF">
      <w:pPr>
        <w:spacing w:after="0"/>
        <w:rPr>
          <w:sz w:val="20"/>
        </w:rPr>
      </w:pPr>
    </w:p>
    <w:p w14:paraId="241B3EE4" w14:textId="77777777" w:rsidR="00695B26" w:rsidRPr="004F564F" w:rsidRDefault="00695B26" w:rsidP="00564EAF">
      <w:pPr>
        <w:spacing w:after="0"/>
        <w:rPr>
          <w:sz w:val="20"/>
        </w:rPr>
      </w:pPr>
    </w:p>
    <w:p w14:paraId="444864C1" w14:textId="77777777" w:rsidR="00695B26" w:rsidRPr="004F564F" w:rsidRDefault="00695B26" w:rsidP="00564EAF">
      <w:pPr>
        <w:spacing w:after="0"/>
        <w:rPr>
          <w:sz w:val="20"/>
        </w:rPr>
      </w:pPr>
    </w:p>
    <w:p w14:paraId="284E153C" w14:textId="77777777" w:rsidR="00695B26" w:rsidRPr="004F564F" w:rsidRDefault="00695B26" w:rsidP="00564EAF">
      <w:pPr>
        <w:spacing w:after="0"/>
        <w:rPr>
          <w:sz w:val="20"/>
        </w:rPr>
      </w:pPr>
    </w:p>
    <w:p w14:paraId="56915F75" w14:textId="77777777" w:rsidR="00695B26" w:rsidRPr="004F564F" w:rsidRDefault="00695B26" w:rsidP="00564EAF">
      <w:pPr>
        <w:spacing w:after="0"/>
        <w:rPr>
          <w:sz w:val="20"/>
        </w:rPr>
      </w:pPr>
    </w:p>
    <w:p w14:paraId="22080258" w14:textId="77777777" w:rsidR="00695B26" w:rsidRPr="004F564F" w:rsidRDefault="00695B26" w:rsidP="00564EAF">
      <w:pPr>
        <w:spacing w:after="0"/>
        <w:rPr>
          <w:sz w:val="20"/>
        </w:rPr>
      </w:pPr>
    </w:p>
    <w:p w14:paraId="284EA098" w14:textId="77777777" w:rsidR="00695B26" w:rsidRPr="004F564F" w:rsidRDefault="00695B26" w:rsidP="00564EAF">
      <w:pPr>
        <w:spacing w:after="0"/>
        <w:rPr>
          <w:sz w:val="20"/>
        </w:rPr>
      </w:pPr>
    </w:p>
    <w:p w14:paraId="6B73AAA7" w14:textId="77777777" w:rsidR="00695B26" w:rsidRPr="004F564F" w:rsidRDefault="00695B26" w:rsidP="00564EAF">
      <w:pPr>
        <w:spacing w:after="0"/>
        <w:rPr>
          <w:sz w:val="20"/>
        </w:rPr>
      </w:pPr>
    </w:p>
    <w:p w14:paraId="4F66B4CA" w14:textId="77777777" w:rsidR="00695B26" w:rsidRPr="004F564F" w:rsidRDefault="00695B26" w:rsidP="00564EAF">
      <w:pPr>
        <w:spacing w:after="0"/>
        <w:rPr>
          <w:sz w:val="20"/>
        </w:rPr>
      </w:pPr>
    </w:p>
    <w:p w14:paraId="3232876B" w14:textId="77777777" w:rsidR="00695B26" w:rsidRPr="004F564F" w:rsidRDefault="00695B26" w:rsidP="00564EAF">
      <w:pPr>
        <w:spacing w:after="0"/>
        <w:rPr>
          <w:sz w:val="20"/>
        </w:rPr>
      </w:pPr>
    </w:p>
    <w:p w14:paraId="5781EC23" w14:textId="77777777" w:rsidR="00695B26" w:rsidRPr="004F564F" w:rsidRDefault="00695B26" w:rsidP="00564EAF">
      <w:pPr>
        <w:spacing w:after="0"/>
        <w:rPr>
          <w:sz w:val="20"/>
        </w:rPr>
      </w:pPr>
    </w:p>
    <w:p w14:paraId="2E4CD382" w14:textId="77777777" w:rsidR="00695B26" w:rsidRPr="004F564F" w:rsidRDefault="00695B26" w:rsidP="00564EAF">
      <w:pPr>
        <w:spacing w:after="0"/>
        <w:rPr>
          <w:sz w:val="20"/>
        </w:rPr>
      </w:pPr>
    </w:p>
    <w:p w14:paraId="545ADF11" w14:textId="77777777" w:rsidR="00695B26" w:rsidRPr="004F564F" w:rsidRDefault="00695B26" w:rsidP="00564EAF">
      <w:pPr>
        <w:spacing w:after="0"/>
        <w:rPr>
          <w:sz w:val="20"/>
        </w:rPr>
      </w:pPr>
    </w:p>
    <w:p w14:paraId="3D2C7BE6" w14:textId="77777777" w:rsidR="00695B26" w:rsidRPr="004F564F" w:rsidRDefault="00711E73" w:rsidP="00564EAF">
      <w:pPr>
        <w:spacing w:after="0"/>
        <w:rPr>
          <w:sz w:val="20"/>
        </w:rPr>
      </w:pPr>
      <w:r w:rsidRPr="004F564F">
        <w:rPr>
          <w:noProof/>
          <w:sz w:val="20"/>
          <w:lang w:eastAsia="en-GB"/>
        </w:rPr>
        <mc:AlternateContent>
          <mc:Choice Requires="wps">
            <w:drawing>
              <wp:anchor distT="0" distB="0" distL="114300" distR="114300" simplePos="0" relativeHeight="251783168" behindDoc="0" locked="0" layoutInCell="1" allowOverlap="1" wp14:anchorId="39C967A0" wp14:editId="7E994927">
                <wp:simplePos x="0" y="0"/>
                <wp:positionH relativeFrom="column">
                  <wp:posOffset>0</wp:posOffset>
                </wp:positionH>
                <wp:positionV relativeFrom="paragraph">
                  <wp:posOffset>98631</wp:posOffset>
                </wp:positionV>
                <wp:extent cx="5264150" cy="327660"/>
                <wp:effectExtent l="0" t="0" r="0" b="0"/>
                <wp:wrapNone/>
                <wp:docPr id="85" name="Text Box 85"/>
                <wp:cNvGraphicFramePr/>
                <a:graphic xmlns:a="http://schemas.openxmlformats.org/drawingml/2006/main">
                  <a:graphicData uri="http://schemas.microsoft.com/office/word/2010/wordprocessingShape">
                    <wps:wsp>
                      <wps:cNvSpPr txBox="1"/>
                      <wps:spPr>
                        <a:xfrm>
                          <a:off x="0" y="0"/>
                          <a:ext cx="5264150" cy="327660"/>
                        </a:xfrm>
                        <a:prstGeom prst="rect">
                          <a:avLst/>
                        </a:prstGeom>
                        <a:solidFill>
                          <a:prstClr val="white"/>
                        </a:solidFill>
                        <a:ln>
                          <a:noFill/>
                        </a:ln>
                      </wps:spPr>
                      <wps:txbx>
                        <w:txbxContent>
                          <w:p w14:paraId="4BD9C6F0" w14:textId="77777777" w:rsidR="00711E73" w:rsidRDefault="00711E73" w:rsidP="00711E73">
                            <w:pPr>
                              <w:pStyle w:val="Legenda"/>
                              <w:spacing w:after="0"/>
                            </w:pPr>
                            <w:r>
                              <w:t xml:space="preserve">Figure 9. Installed geothermal energy capacity, 2018 </w:t>
                            </w:r>
                          </w:p>
                          <w:p w14:paraId="7CB1C731" w14:textId="77777777" w:rsidR="00711E73" w:rsidRPr="00644A02" w:rsidRDefault="00711E73" w:rsidP="00711E73">
                            <w:pPr>
                              <w:spacing w:after="0"/>
                            </w:pPr>
                            <w:r w:rsidRPr="00644A02">
                              <w:rPr>
                                <w:i/>
                                <w:iCs/>
                                <w:color w:val="44546A" w:themeColor="text2"/>
                                <w:sz w:val="18"/>
                                <w:szCs w:val="18"/>
                              </w:rPr>
                              <w:t xml:space="preserve">Source: </w:t>
                            </w:r>
                            <w:hyperlink r:id="rId26" w:history="1">
                              <w:r w:rsidRPr="00835784">
                                <w:rPr>
                                  <w:i/>
                                  <w:iCs/>
                                  <w:color w:val="44546A" w:themeColor="text2"/>
                                  <w:sz w:val="18"/>
                                  <w:szCs w:val="18"/>
                                </w:rPr>
                                <w:t>https://ourworldindata.org/renewable-energy</w:t>
                              </w:r>
                            </w:hyperlink>
                            <w:r w:rsidRPr="00835784">
                              <w:rPr>
                                <w:i/>
                                <w:iCs/>
                                <w:color w:val="44546A" w:themeColor="text2"/>
                                <w:sz w:val="18"/>
                                <w:szCs w:val="18"/>
                              </w:rPr>
                              <w:t xml:space="preserve"> </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9C967A0" id="Text Box 85" o:spid="_x0000_s1033" type="#_x0000_t202" style="position:absolute;margin-left:0;margin-top:7.75pt;width:414.5pt;height:25.8pt;z-index:2517831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" stroked="f">
                <v:textbox inset="0,0,0,0">
                  <w:txbxContent>
                    <w:p w14:paraId="4BD9C6F0" w14:textId="77777777" w:rsidR="00711E73" w:rsidRDefault="00711E73" w:rsidP="00711E73">
                      <w:pPr>
                        <w:pStyle w:val="Legenda"/>
                        <w:spacing w:after="0"/>
                      </w:pPr>
                      <w:r>
                        <w:t xml:space="preserve">Figure 9. Installed geothermal energy capacity, 2018 </w:t>
                      </w:r>
                    </w:p>
                    <w:p w14:paraId="7CB1C731" w14:textId="77777777" w:rsidR="00711E73" w:rsidRPr="00644A02" w:rsidRDefault="00711E73" w:rsidP="00711E73">
                      <w:pPr>
                        <w:spacing w:after="0"/>
                      </w:pPr>
                      <w:r w:rsidRPr="00644A02">
                        <w:rPr>
                          <w:i/>
                          <w:iCs/>
                          <w:color w:val="44546A" w:themeColor="text2"/>
                          <w:sz w:val="18"/>
                          <w:szCs w:val="18"/>
                        </w:rPr>
                        <w:t xml:space="preserve">Source: </w:t>
                      </w:r>
                      <w:hyperlink r:id="rId27" w:history="1">
                        <w:r w:rsidRPr="00835784">
                          <w:rPr>
                            <w:i/>
                            <w:iCs/>
                            <w:color w:val="44546A" w:themeColor="text2"/>
                            <w:sz w:val="18"/>
                            <w:szCs w:val="18"/>
                          </w:rPr>
                          <w:t>https://ourworldindata.org/renewable-energy</w:t>
                        </w:r>
                      </w:hyperlink>
                      <w:r w:rsidRPr="00835784">
                        <w:rPr>
                          <w:i/>
                          <w:iCs/>
                          <w:color w:val="44546A" w:themeColor="text2"/>
                          <w:sz w:val="18"/>
                          <w:szCs w:val="18"/>
                        </w:rPr>
                        <w:t xml:space="preserve"> </w:t>
                      </w:r>
                    </w:p>
                  </w:txbxContent>
                </v:textbox>
              </v:shape>
            </w:pict>
          </mc:Fallback>
        </mc:AlternateContent>
      </w:r>
    </w:p>
    <w:p w14:paraId="6E99EF88" w14:textId="77777777" w:rsidR="00C936A4" w:rsidRPr="004F564F" w:rsidRDefault="00C936A4" w:rsidP="00C936A4">
      <w:pPr>
        <w:rPr>
          <w:sz w:val="20"/>
          <w:lang w:val="pl-PL"/>
        </w:rPr>
      </w:pPr>
    </w:p>
    <w:p w14:paraId="22873177" w14:textId="77777777" w:rsidR="00C936A4" w:rsidRPr="004F564F" w:rsidRDefault="00C936A4" w:rsidP="00C936A4">
      <w:pPr>
        <w:rPr>
          <w:sz w:val="20"/>
          <w:lang w:val="pl-PL"/>
        </w:rPr>
      </w:pPr>
      <w:r w:rsidRPr="004F564F">
        <w:rPr>
          <w:sz w:val="20"/>
          <w:lang w:val="pl-PL"/>
        </w:rPr>
        <w:t>SLAJD 11</w:t>
      </w:r>
    </w:p>
    <w:p w14:paraId="37815BDA" w14:textId="77777777" w:rsidR="00C936A4" w:rsidRPr="004F564F" w:rsidRDefault="00C936A4" w:rsidP="00C936A4">
      <w:pPr>
        <w:spacing w:after="0"/>
        <w:rPr>
          <w:sz w:val="20"/>
          <w:lang w:val="pl-PL"/>
        </w:rPr>
      </w:pPr>
      <w:r w:rsidRPr="004F564F">
        <w:rPr>
          <w:sz w:val="20"/>
          <w:lang w:val="pl-PL"/>
        </w:rPr>
        <w:t>Energia geotermalna - zatrudnienie i produkcja</w:t>
      </w:r>
    </w:p>
    <w:p w14:paraId="78AD87D1" w14:textId="77777777" w:rsidR="00C936A4" w:rsidRPr="004F564F" w:rsidRDefault="00C936A4" w:rsidP="00C936A4">
      <w:pPr>
        <w:spacing w:after="0"/>
        <w:rPr>
          <w:sz w:val="20"/>
          <w:lang w:val="pl-PL"/>
        </w:rPr>
      </w:pPr>
    </w:p>
    <w:p w14:paraId="34406406" w14:textId="77777777" w:rsidR="00564EAF" w:rsidRPr="004F564F" w:rsidRDefault="00C936A4" w:rsidP="00C936A4">
      <w:pPr>
        <w:spacing w:after="0"/>
        <w:rPr>
          <w:sz w:val="20"/>
          <w:lang w:val="pl-PL"/>
        </w:rPr>
      </w:pPr>
      <w:r w:rsidRPr="004F564F">
        <w:rPr>
          <w:sz w:val="20"/>
          <w:lang w:val="pl-PL"/>
        </w:rPr>
        <w:t>W 2017 r. energia geotermalna była odpowiedzialna za zaledwie 2% światowej produkcji energii odnawialnej. Również rynek pracy jest dość niewielki w porównaniu do innych sektorów energii odnawialnej i stanowił jedynie 94 tysiące miejsc pracy.</w:t>
      </w:r>
    </w:p>
    <w:p w14:paraId="254A00D7" w14:textId="77777777" w:rsidR="00564EAF" w:rsidRPr="004F564F" w:rsidRDefault="00564EAF" w:rsidP="00564EAF">
      <w:pPr>
        <w:spacing w:after="0"/>
        <w:rPr>
          <w:sz w:val="18"/>
        </w:rPr>
      </w:pPr>
    </w:p>
    <w:p w14:paraId="230EF699" w14:textId="77777777" w:rsidR="00836439" w:rsidRPr="004F564F" w:rsidRDefault="00836439" w:rsidP="00564EAF">
      <w:pPr>
        <w:spacing w:after="0"/>
        <w:rPr>
          <w:sz w:val="20"/>
        </w:rPr>
      </w:pPr>
    </w:p>
    <w:p w14:paraId="101711CB" w14:textId="77777777" w:rsidR="0019702E" w:rsidRPr="004F564F" w:rsidRDefault="00564EAF" w:rsidP="0019702E">
      <w:pPr>
        <w:rPr>
          <w:sz w:val="20"/>
          <w:lang w:val="pl-PL"/>
        </w:rPr>
      </w:pPr>
      <w:r w:rsidRPr="004F564F">
        <w:rPr>
          <w:sz w:val="20"/>
          <w:lang w:val="pl-PL"/>
        </w:rPr>
        <w:br w:type="page"/>
      </w:r>
      <w:r w:rsidR="0019702E" w:rsidRPr="004F564F">
        <w:rPr>
          <w:sz w:val="20"/>
          <w:lang w:val="pl-PL"/>
        </w:rPr>
        <w:lastRenderedPageBreak/>
        <w:t>LO2: Efektywne wykorzystanie zasobów</w:t>
      </w:r>
    </w:p>
    <w:p w14:paraId="601253CA" w14:textId="77777777" w:rsidR="0019702E" w:rsidRPr="004F564F" w:rsidRDefault="0019702E" w:rsidP="0019702E">
      <w:pPr>
        <w:rPr>
          <w:sz w:val="20"/>
          <w:lang w:val="pl-PL"/>
        </w:rPr>
      </w:pPr>
      <w:r w:rsidRPr="004F564F">
        <w:rPr>
          <w:sz w:val="20"/>
          <w:lang w:val="pl-PL"/>
        </w:rPr>
        <w:t>SLAJD 1</w:t>
      </w:r>
    </w:p>
    <w:p w14:paraId="3A254B51" w14:textId="77777777" w:rsidR="0019702E" w:rsidRPr="004F564F" w:rsidRDefault="0019702E" w:rsidP="0019702E">
      <w:pPr>
        <w:rPr>
          <w:sz w:val="20"/>
          <w:lang w:val="pl-PL"/>
        </w:rPr>
      </w:pPr>
      <w:r w:rsidRPr="004F564F">
        <w:rPr>
          <w:sz w:val="20"/>
          <w:lang w:val="pl-PL"/>
        </w:rPr>
        <w:t>Odpady plastikowe</w:t>
      </w:r>
    </w:p>
    <w:p w14:paraId="43C74196" w14:textId="77777777" w:rsidR="0019702E" w:rsidRPr="004F564F" w:rsidRDefault="0019702E" w:rsidP="0019702E">
      <w:pPr>
        <w:rPr>
          <w:sz w:val="20"/>
          <w:lang w:val="pl-PL"/>
        </w:rPr>
      </w:pPr>
    </w:p>
    <w:p w14:paraId="4E2BE531" w14:textId="77777777" w:rsidR="00564EAF" w:rsidRPr="004F564F" w:rsidRDefault="0019702E" w:rsidP="0019702E">
      <w:pPr>
        <w:rPr>
          <w:sz w:val="20"/>
          <w:lang w:val="pl-PL"/>
        </w:rPr>
      </w:pPr>
      <w:r w:rsidRPr="004F564F">
        <w:rPr>
          <w:sz w:val="20"/>
          <w:lang w:val="pl-PL"/>
        </w:rPr>
        <w:t>Aby opisać minione okresy, często używamy nazw epoka kamienia, epoka brązu, epoka żelaza. Przyszłe pokolenie z pewnością określi obecny okres jako epokę plastiku, ponieważ jest to zdecydowanie najbardziej dominujący obecnie materiał. Naukowcy twierdzą, że od lat 50. wyprodukowano ponad 8,3 miliarda ton plastiku. Bardziej przerażające jest to, że około 60% z nich trafiło na wysypiska śmieci lub zanieczyściło środowisko.</w:t>
      </w:r>
      <w:r w:rsidRPr="004F564F">
        <w:rPr>
          <w:rStyle w:val="Odwoanieprzypisudolnego"/>
          <w:sz w:val="20"/>
        </w:rPr>
        <w:t xml:space="preserve"> </w:t>
      </w:r>
      <w:r w:rsidRPr="004F564F">
        <w:rPr>
          <w:rStyle w:val="Odwoanieprzypisudolnego"/>
          <w:sz w:val="20"/>
        </w:rPr>
        <w:footnoteReference w:id="9"/>
      </w:r>
    </w:p>
    <w:p w14:paraId="05047081" w14:textId="77777777" w:rsidR="00CB3F55" w:rsidRPr="004F564F" w:rsidRDefault="00711E73" w:rsidP="00CB3F55">
      <w:pPr>
        <w:spacing w:before="240" w:after="240"/>
        <w:jc w:val="both"/>
        <w:rPr>
          <w:sz w:val="20"/>
        </w:rPr>
      </w:pPr>
      <w:r w:rsidRPr="004F564F">
        <w:rPr>
          <w:noProof/>
          <w:lang w:eastAsia="en-GB"/>
        </w:rPr>
        <w:drawing>
          <wp:anchor distT="0" distB="0" distL="114300" distR="114300" simplePos="0" relativeHeight="251784192" behindDoc="0" locked="0" layoutInCell="1" allowOverlap="1" wp14:anchorId="599849D0" wp14:editId="42549916">
            <wp:simplePos x="0" y="0"/>
            <wp:positionH relativeFrom="column">
              <wp:posOffset>0</wp:posOffset>
            </wp:positionH>
            <wp:positionV relativeFrom="paragraph">
              <wp:posOffset>-2301</wp:posOffset>
            </wp:positionV>
            <wp:extent cx="4572000" cy="2743200"/>
            <wp:effectExtent l="0" t="0" r="0" b="0"/>
            <wp:wrapNone/>
            <wp:docPr id="86" name="Chart 86">
              <a:extLst xmlns:a="http://schemas.openxmlformats.org/drawingml/2006/main">
                <a:ext uri="{FF2B5EF4-FFF2-40B4-BE49-F238E27FC236}">
                  <a16:creationId xmlns:a16="http://schemas.microsoft.com/office/drawing/2014/main" id="{49F65192-0768-45A3-A0BE-B695E7C4DA5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anchor>
        </w:drawing>
      </w:r>
    </w:p>
    <w:p w14:paraId="165CC754" w14:textId="77777777" w:rsidR="005A4583" w:rsidRPr="004F564F" w:rsidRDefault="005A4583" w:rsidP="00E42F88">
      <w:pPr>
        <w:pStyle w:val="Akapitzlist"/>
        <w:spacing w:after="240"/>
        <w:ind w:left="0"/>
        <w:jc w:val="both"/>
        <w:rPr>
          <w:sz w:val="20"/>
        </w:rPr>
      </w:pPr>
    </w:p>
    <w:p w14:paraId="0057996B" w14:textId="77777777" w:rsidR="005A4583" w:rsidRPr="004F564F" w:rsidRDefault="005A4583" w:rsidP="00E42F88">
      <w:pPr>
        <w:pStyle w:val="Akapitzlist"/>
        <w:spacing w:after="240"/>
        <w:ind w:left="0"/>
        <w:jc w:val="both"/>
        <w:rPr>
          <w:sz w:val="20"/>
        </w:rPr>
      </w:pPr>
    </w:p>
    <w:p w14:paraId="3BA53E51" w14:textId="77777777" w:rsidR="005A4583" w:rsidRPr="004F564F" w:rsidRDefault="005A4583" w:rsidP="00E42F88">
      <w:pPr>
        <w:pStyle w:val="Akapitzlist"/>
        <w:spacing w:after="240"/>
        <w:ind w:left="0"/>
        <w:jc w:val="both"/>
        <w:rPr>
          <w:sz w:val="20"/>
        </w:rPr>
      </w:pPr>
    </w:p>
    <w:p w14:paraId="4D5475DB" w14:textId="77777777" w:rsidR="005A4583" w:rsidRPr="004F564F" w:rsidRDefault="005A4583" w:rsidP="00E42F88">
      <w:pPr>
        <w:pStyle w:val="Akapitzlist"/>
        <w:spacing w:after="240"/>
        <w:ind w:left="0"/>
        <w:jc w:val="both"/>
        <w:rPr>
          <w:sz w:val="20"/>
        </w:rPr>
      </w:pPr>
    </w:p>
    <w:p w14:paraId="3C3A1EE9" w14:textId="77777777" w:rsidR="005A4583" w:rsidRPr="004F564F" w:rsidRDefault="005A4583" w:rsidP="00E42F88">
      <w:pPr>
        <w:pStyle w:val="Akapitzlist"/>
        <w:spacing w:after="240"/>
        <w:ind w:left="0"/>
        <w:jc w:val="both"/>
        <w:rPr>
          <w:sz w:val="20"/>
        </w:rPr>
      </w:pPr>
    </w:p>
    <w:p w14:paraId="1CC0AE02" w14:textId="77777777" w:rsidR="005A4583" w:rsidRPr="004F564F" w:rsidRDefault="005A4583" w:rsidP="00E42F88">
      <w:pPr>
        <w:pStyle w:val="Akapitzlist"/>
        <w:spacing w:after="240"/>
        <w:ind w:left="0"/>
        <w:jc w:val="both"/>
        <w:rPr>
          <w:sz w:val="20"/>
        </w:rPr>
      </w:pPr>
    </w:p>
    <w:p w14:paraId="26E042A4" w14:textId="77777777" w:rsidR="005A4583" w:rsidRPr="004F564F" w:rsidRDefault="005A4583" w:rsidP="00E42F88">
      <w:pPr>
        <w:pStyle w:val="Akapitzlist"/>
        <w:spacing w:after="240"/>
        <w:ind w:left="0"/>
        <w:jc w:val="both"/>
        <w:rPr>
          <w:sz w:val="20"/>
        </w:rPr>
      </w:pPr>
    </w:p>
    <w:p w14:paraId="04696519" w14:textId="77777777" w:rsidR="005A4583" w:rsidRPr="004F564F" w:rsidRDefault="005A4583" w:rsidP="00E42F88">
      <w:pPr>
        <w:pStyle w:val="Akapitzlist"/>
        <w:spacing w:after="240"/>
        <w:ind w:left="0"/>
        <w:jc w:val="both"/>
        <w:rPr>
          <w:sz w:val="20"/>
        </w:rPr>
      </w:pPr>
    </w:p>
    <w:p w14:paraId="5A58298D" w14:textId="77777777" w:rsidR="005A4583" w:rsidRPr="004F564F" w:rsidRDefault="005A4583" w:rsidP="00E42F88">
      <w:pPr>
        <w:pStyle w:val="Akapitzlist"/>
        <w:spacing w:after="240"/>
        <w:ind w:left="0"/>
        <w:jc w:val="both"/>
        <w:rPr>
          <w:sz w:val="20"/>
        </w:rPr>
      </w:pPr>
    </w:p>
    <w:p w14:paraId="033EEC47" w14:textId="77777777" w:rsidR="00CB3F55" w:rsidRPr="004F564F" w:rsidRDefault="00CB3F55" w:rsidP="00E42F88">
      <w:pPr>
        <w:pStyle w:val="Akapitzlist"/>
        <w:spacing w:after="240"/>
        <w:ind w:left="0"/>
        <w:jc w:val="both"/>
        <w:rPr>
          <w:sz w:val="20"/>
        </w:rPr>
      </w:pPr>
    </w:p>
    <w:p w14:paraId="1FFB2268" w14:textId="77777777" w:rsidR="00CB3F55" w:rsidRPr="004F564F" w:rsidRDefault="00CB3F55" w:rsidP="00E42F88">
      <w:pPr>
        <w:pStyle w:val="Akapitzlist"/>
        <w:spacing w:after="240"/>
        <w:ind w:left="0"/>
        <w:jc w:val="both"/>
        <w:rPr>
          <w:sz w:val="20"/>
        </w:rPr>
      </w:pPr>
    </w:p>
    <w:p w14:paraId="0063B59F" w14:textId="77777777" w:rsidR="00CB3F55" w:rsidRPr="004F564F" w:rsidRDefault="00236626" w:rsidP="00236626">
      <w:pPr>
        <w:pStyle w:val="Akapitzlist"/>
        <w:spacing w:after="0"/>
        <w:ind w:left="0"/>
        <w:jc w:val="both"/>
        <w:rPr>
          <w:sz w:val="20"/>
        </w:rPr>
      </w:pPr>
      <w:r w:rsidRPr="004F564F">
        <w:rPr>
          <w:sz w:val="20"/>
        </w:rPr>
        <w:t>SLIDE 2</w:t>
      </w:r>
    </w:p>
    <w:p w14:paraId="0C3B43F8" w14:textId="77777777" w:rsidR="00236626" w:rsidRPr="004F564F" w:rsidRDefault="00236626" w:rsidP="00236626">
      <w:pPr>
        <w:pStyle w:val="Akapitzlist"/>
        <w:spacing w:after="0"/>
        <w:ind w:left="0"/>
        <w:jc w:val="both"/>
        <w:rPr>
          <w:sz w:val="18"/>
        </w:rPr>
      </w:pPr>
      <w:r w:rsidRPr="004F564F">
        <w:rPr>
          <w:sz w:val="18"/>
        </w:rPr>
        <w:t>Recycling</w:t>
      </w:r>
    </w:p>
    <w:p w14:paraId="58AB4534" w14:textId="77777777" w:rsidR="00CB3F55" w:rsidRPr="004F564F" w:rsidRDefault="00501A59" w:rsidP="00E42F88">
      <w:pPr>
        <w:pStyle w:val="Akapitzlist"/>
        <w:spacing w:after="240"/>
        <w:ind w:left="0"/>
        <w:jc w:val="both"/>
        <w:rPr>
          <w:sz w:val="20"/>
        </w:rPr>
      </w:pPr>
      <w:r w:rsidRPr="004F564F">
        <w:rPr>
          <w:noProof/>
          <w:sz w:val="20"/>
          <w:lang w:eastAsia="en-GB"/>
        </w:rPr>
        <mc:AlternateContent>
          <mc:Choice Requires="wps">
            <w:drawing>
              <wp:anchor distT="0" distB="0" distL="114300" distR="114300" simplePos="0" relativeHeight="251786240" behindDoc="0" locked="0" layoutInCell="1" allowOverlap="1" wp14:anchorId="4281C9BE" wp14:editId="08255552">
                <wp:simplePos x="0" y="0"/>
                <wp:positionH relativeFrom="column">
                  <wp:posOffset>0</wp:posOffset>
                </wp:positionH>
                <wp:positionV relativeFrom="paragraph">
                  <wp:posOffset>126794</wp:posOffset>
                </wp:positionV>
                <wp:extent cx="5264150" cy="327660"/>
                <wp:effectExtent l="0" t="0" r="0" b="0"/>
                <wp:wrapNone/>
                <wp:docPr id="87" name="Text Box 87"/>
                <wp:cNvGraphicFramePr/>
                <a:graphic xmlns:a="http://schemas.openxmlformats.org/drawingml/2006/main">
                  <a:graphicData uri="http://schemas.microsoft.com/office/word/2010/wordprocessingShape">
                    <wps:wsp>
                      <wps:cNvSpPr txBox="1"/>
                      <wps:spPr>
                        <a:xfrm>
                          <a:off x="0" y="0"/>
                          <a:ext cx="5264150" cy="327660"/>
                        </a:xfrm>
                        <a:prstGeom prst="rect">
                          <a:avLst/>
                        </a:prstGeom>
                        <a:solidFill>
                          <a:prstClr val="white"/>
                        </a:solidFill>
                        <a:ln>
                          <a:noFill/>
                        </a:ln>
                      </wps:spPr>
                      <wps:txbx>
                        <w:txbxContent>
                          <w:p w14:paraId="149FCA88" w14:textId="77777777" w:rsidR="00501A59" w:rsidRDefault="00501A59" w:rsidP="00501A59">
                            <w:pPr>
                              <w:pStyle w:val="Legenda"/>
                              <w:spacing w:after="0"/>
                            </w:pPr>
                            <w:r>
                              <w:t xml:space="preserve">Figure 10. Plastic waste generation by industrial sector, 2015 </w:t>
                            </w:r>
                          </w:p>
                          <w:p w14:paraId="512974B5" w14:textId="77777777" w:rsidR="00501A59" w:rsidRPr="00501A59" w:rsidRDefault="00501A59" w:rsidP="00501A59">
                            <w:pPr>
                              <w:spacing w:after="0"/>
                              <w:rPr>
                                <w:i/>
                                <w:iCs/>
                                <w:color w:val="44546A" w:themeColor="text2"/>
                                <w:sz w:val="18"/>
                                <w:szCs w:val="18"/>
                              </w:rPr>
                            </w:pPr>
                            <w:r w:rsidRPr="00644A02">
                              <w:rPr>
                                <w:i/>
                                <w:iCs/>
                                <w:color w:val="44546A" w:themeColor="text2"/>
                                <w:sz w:val="18"/>
                                <w:szCs w:val="18"/>
                              </w:rPr>
                              <w:t xml:space="preserve">Source: </w:t>
                            </w:r>
                            <w:hyperlink r:id="rId29" w:history="1">
                              <w:r w:rsidRPr="00501A59">
                                <w:rPr>
                                  <w:i/>
                                  <w:iCs/>
                                  <w:color w:val="44546A" w:themeColor="text2"/>
                                  <w:sz w:val="18"/>
                                  <w:szCs w:val="18"/>
                                </w:rPr>
                                <w:t>https://ourworldindata.org/grapher/plastic-waste-by-sector</w:t>
                              </w:r>
                            </w:hyperlink>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281C9BE" id="Text Box 87" o:spid="_x0000_s1034" type="#_x0000_t202" style="position:absolute;left:0;text-align:left;margin-left:0;margin-top:10pt;width:414.5pt;height:25.8pt;z-index:251786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" stroked="f">
                <v:textbox inset="0,0,0,0">
                  <w:txbxContent>
                    <w:p w14:paraId="149FCA88" w14:textId="77777777" w:rsidR="00501A59" w:rsidRDefault="00501A59" w:rsidP="00501A59">
                      <w:pPr>
                        <w:pStyle w:val="Legenda"/>
                        <w:spacing w:after="0"/>
                      </w:pPr>
                      <w:r>
                        <w:t xml:space="preserve">Figure 10. Plastic waste generation by industrial sector, 2015 </w:t>
                      </w:r>
                    </w:p>
                    <w:p w14:paraId="512974B5" w14:textId="77777777" w:rsidR="00501A59" w:rsidRPr="00501A59" w:rsidRDefault="00501A59" w:rsidP="00501A59">
                      <w:pPr>
                        <w:spacing w:after="0"/>
                        <w:rPr>
                          <w:i/>
                          <w:iCs/>
                          <w:color w:val="44546A" w:themeColor="text2"/>
                          <w:sz w:val="18"/>
                          <w:szCs w:val="18"/>
                        </w:rPr>
                      </w:pPr>
                      <w:r w:rsidRPr="00644A02">
                        <w:rPr>
                          <w:i/>
                          <w:iCs/>
                          <w:color w:val="44546A" w:themeColor="text2"/>
                          <w:sz w:val="18"/>
                          <w:szCs w:val="18"/>
                        </w:rPr>
                        <w:t xml:space="preserve">Source: </w:t>
                      </w:r>
                      <w:hyperlink r:id="rId30" w:history="1">
                        <w:r w:rsidRPr="00501A59">
                          <w:rPr>
                            <w:i/>
                            <w:iCs/>
                            <w:color w:val="44546A" w:themeColor="text2"/>
                            <w:sz w:val="18"/>
                            <w:szCs w:val="18"/>
                          </w:rPr>
                          <w:t>https://ourworldindata.org/grapher/plastic-waste-by-sector</w:t>
                        </w:r>
                      </w:hyperlink>
                    </w:p>
                  </w:txbxContent>
                </v:textbox>
              </v:shape>
            </w:pict>
          </mc:Fallback>
        </mc:AlternateContent>
      </w:r>
    </w:p>
    <w:p w14:paraId="3D8AC861" w14:textId="77777777" w:rsidR="00501A59" w:rsidRPr="004F564F" w:rsidRDefault="00501A59" w:rsidP="00E42F88">
      <w:pPr>
        <w:pStyle w:val="Akapitzlist"/>
        <w:spacing w:after="240"/>
        <w:ind w:left="0"/>
        <w:jc w:val="both"/>
        <w:rPr>
          <w:sz w:val="20"/>
        </w:rPr>
      </w:pPr>
    </w:p>
    <w:p w14:paraId="1035FC65" w14:textId="77777777" w:rsidR="002E2CA6" w:rsidRPr="004F564F" w:rsidRDefault="002E2CA6">
      <w:pPr>
        <w:rPr>
          <w:sz w:val="20"/>
        </w:rPr>
      </w:pPr>
      <w:r w:rsidRPr="004F564F">
        <w:rPr>
          <w:sz w:val="20"/>
        </w:rPr>
        <w:br w:type="page"/>
      </w:r>
    </w:p>
    <w:p w14:paraId="0220694A" w14:textId="77777777" w:rsidR="00501A59" w:rsidRPr="004F564F" w:rsidRDefault="00501A59" w:rsidP="00E42F88">
      <w:pPr>
        <w:pStyle w:val="Akapitzlist"/>
        <w:spacing w:after="240"/>
        <w:ind w:left="0"/>
        <w:jc w:val="both"/>
        <w:rPr>
          <w:sz w:val="20"/>
        </w:rPr>
      </w:pPr>
    </w:p>
    <w:p w14:paraId="3073F102" w14:textId="77777777" w:rsidR="0019702E" w:rsidRPr="004F564F" w:rsidRDefault="0019702E" w:rsidP="00E42F88">
      <w:pPr>
        <w:pStyle w:val="Akapitzlist"/>
        <w:spacing w:after="240"/>
        <w:ind w:left="0"/>
        <w:jc w:val="both"/>
        <w:rPr>
          <w:sz w:val="20"/>
          <w:lang w:val="pl-PL"/>
        </w:rPr>
      </w:pPr>
      <w:r w:rsidRPr="004F564F">
        <w:rPr>
          <w:sz w:val="20"/>
          <w:lang w:val="pl-PL"/>
        </w:rPr>
        <w:t xml:space="preserve">Slide 2 </w:t>
      </w:r>
    </w:p>
    <w:p w14:paraId="6AF1AB40" w14:textId="77777777" w:rsidR="0019702E" w:rsidRPr="004F564F" w:rsidRDefault="0019702E" w:rsidP="0019702E">
      <w:pPr>
        <w:pStyle w:val="Akapitzlist"/>
        <w:spacing w:after="240"/>
        <w:jc w:val="both"/>
        <w:rPr>
          <w:sz w:val="20"/>
          <w:lang w:val="pl-PL"/>
        </w:rPr>
      </w:pPr>
    </w:p>
    <w:p w14:paraId="544398B4" w14:textId="77777777" w:rsidR="00790FC6" w:rsidRPr="004F564F" w:rsidRDefault="0019702E" w:rsidP="00E42F88">
      <w:pPr>
        <w:pStyle w:val="Akapitzlist"/>
        <w:spacing w:after="240"/>
        <w:ind w:left="0"/>
        <w:jc w:val="both"/>
        <w:rPr>
          <w:sz w:val="20"/>
          <w:lang w:val="pl-PL"/>
        </w:rPr>
      </w:pPr>
      <w:r w:rsidRPr="004F564F">
        <w:rPr>
          <w:sz w:val="20"/>
          <w:lang w:val="pl-PL"/>
        </w:rPr>
        <w:t>Recykling to proces przekształcania odpadów w nowe materiały i przedmioty. Recykling tworzyw sztucznych zaczął być wdrażany w latach 80. Aby zapobiec dostawaniu się plastiku na wysypisko, musi</w:t>
      </w:r>
      <w:r w:rsidR="002E2CA6" w:rsidRPr="004F564F">
        <w:rPr>
          <w:sz w:val="20"/>
          <w:lang w:val="pl-PL"/>
        </w:rPr>
        <w:t xml:space="preserve">ał zostać on poddany </w:t>
      </w:r>
      <w:r w:rsidRPr="004F564F">
        <w:rPr>
          <w:sz w:val="20"/>
          <w:lang w:val="pl-PL"/>
        </w:rPr>
        <w:t xml:space="preserve"> obróbce cieplnej, co oczywiście powoduje problemy środowiskowe i zdrowotne. Dzięki obecnym technologiom, takim jak piroliza (wydobywanie paliwa z odpadów z tworzyw sztucznych) i biodegradacja (przy użyciu organizmów trawiących polimery), możliwe jest ograniczenie ilości odpadów w przyszłości</w:t>
      </w:r>
      <w:r w:rsidR="002E2CA6" w:rsidRPr="004F564F">
        <w:rPr>
          <w:sz w:val="20"/>
          <w:lang w:val="pl-PL"/>
        </w:rPr>
        <w:t>.</w:t>
      </w:r>
      <w:r w:rsidR="002E2CA6" w:rsidRPr="004F564F">
        <w:rPr>
          <w:rStyle w:val="Odwoanieprzypisudolnego"/>
          <w:sz w:val="20"/>
        </w:rPr>
        <w:t xml:space="preserve"> </w:t>
      </w:r>
      <w:r w:rsidR="002E2CA6" w:rsidRPr="004F564F">
        <w:rPr>
          <w:rStyle w:val="Odwoanieprzypisudolnego"/>
          <w:sz w:val="20"/>
        </w:rPr>
        <w:footnoteReference w:id="10"/>
      </w:r>
    </w:p>
    <w:p w14:paraId="4046254E" w14:textId="77777777" w:rsidR="00790FC6" w:rsidRPr="004F564F" w:rsidRDefault="00790FC6" w:rsidP="00E42F88">
      <w:pPr>
        <w:pStyle w:val="Akapitzlist"/>
        <w:spacing w:after="240"/>
        <w:ind w:left="0"/>
        <w:jc w:val="both"/>
        <w:rPr>
          <w:sz w:val="20"/>
        </w:rPr>
      </w:pPr>
    </w:p>
    <w:p w14:paraId="5E11FB19" w14:textId="77777777" w:rsidR="00790FC6" w:rsidRPr="004F564F" w:rsidRDefault="002E2CA6" w:rsidP="00E42F88">
      <w:pPr>
        <w:pStyle w:val="Akapitzlist"/>
        <w:spacing w:after="240"/>
        <w:ind w:left="0"/>
        <w:jc w:val="both"/>
        <w:rPr>
          <w:sz w:val="20"/>
        </w:rPr>
      </w:pPr>
      <w:r w:rsidRPr="004F564F">
        <w:rPr>
          <w:noProof/>
          <w:lang w:eastAsia="en-GB"/>
        </w:rPr>
        <w:drawing>
          <wp:anchor distT="0" distB="0" distL="114300" distR="114300" simplePos="0" relativeHeight="251787264" behindDoc="0" locked="0" layoutInCell="1" allowOverlap="1" wp14:anchorId="1B46CF5B" wp14:editId="068DA21D">
            <wp:simplePos x="0" y="0"/>
            <wp:positionH relativeFrom="column">
              <wp:posOffset>135172</wp:posOffset>
            </wp:positionH>
            <wp:positionV relativeFrom="paragraph">
              <wp:posOffset>5163</wp:posOffset>
            </wp:positionV>
            <wp:extent cx="3896139" cy="2146852"/>
            <wp:effectExtent l="0" t="0" r="0" b="6350"/>
            <wp:wrapNone/>
            <wp:docPr id="88" name="Chart 88">
              <a:extLst xmlns:a="http://schemas.openxmlformats.org/drawingml/2006/main">
                <a:ext uri="{FF2B5EF4-FFF2-40B4-BE49-F238E27FC236}">
                  <a16:creationId xmlns:a16="http://schemas.microsoft.com/office/drawing/2014/main" id="{86D8171E-0390-4810-AD72-3E341BB07E1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14:sizeRelH relativeFrom="margin">
              <wp14:pctWidth>0</wp14:pctWidth>
            </wp14:sizeRelH>
            <wp14:sizeRelV relativeFrom="margin">
              <wp14:pctHeight>0</wp14:pctHeight>
            </wp14:sizeRelV>
          </wp:anchor>
        </w:drawing>
      </w:r>
    </w:p>
    <w:p w14:paraId="72DADF25" w14:textId="77777777" w:rsidR="00501A59" w:rsidRPr="004F564F" w:rsidRDefault="00501A59">
      <w:pPr>
        <w:rPr>
          <w:sz w:val="20"/>
        </w:rPr>
      </w:pPr>
      <w:r w:rsidRPr="004F564F">
        <w:rPr>
          <w:noProof/>
          <w:lang w:eastAsia="en-GB"/>
        </w:rPr>
        <mc:AlternateContent>
          <mc:Choice Requires="wps">
            <w:drawing>
              <wp:anchor distT="0" distB="0" distL="114300" distR="114300" simplePos="0" relativeHeight="251789312" behindDoc="1" locked="0" layoutInCell="1" allowOverlap="1" wp14:anchorId="0290F407" wp14:editId="0DEE5A95">
                <wp:simplePos x="0" y="0"/>
                <wp:positionH relativeFrom="column">
                  <wp:posOffset>-381331</wp:posOffset>
                </wp:positionH>
                <wp:positionV relativeFrom="paragraph">
                  <wp:posOffset>2147321</wp:posOffset>
                </wp:positionV>
                <wp:extent cx="5835650" cy="317500"/>
                <wp:effectExtent l="0" t="0" r="0" b="6350"/>
                <wp:wrapNone/>
                <wp:docPr id="64" name="Text Box 64"/>
                <wp:cNvGraphicFramePr/>
                <a:graphic xmlns:a="http://schemas.openxmlformats.org/drawingml/2006/main">
                  <a:graphicData uri="http://schemas.microsoft.com/office/word/2010/wordprocessingShape">
                    <wps:wsp>
                      <wps:cNvSpPr txBox="1"/>
                      <wps:spPr>
                        <a:xfrm>
                          <a:off x="0" y="0"/>
                          <a:ext cx="5835650" cy="317500"/>
                        </a:xfrm>
                        <a:prstGeom prst="rect">
                          <a:avLst/>
                        </a:prstGeom>
                        <a:solidFill>
                          <a:prstClr val="white"/>
                        </a:solidFill>
                        <a:ln>
                          <a:noFill/>
                        </a:ln>
                      </wps:spPr>
                      <wps:txbx>
                        <w:txbxContent>
                          <w:p w14:paraId="4ACBBF7D" w14:textId="77777777" w:rsidR="00501A59" w:rsidRDefault="00501A59" w:rsidP="00501A59">
                            <w:pPr>
                              <w:pStyle w:val="Legenda"/>
                              <w:spacing w:after="0"/>
                            </w:pPr>
                            <w:r>
                              <w:t xml:space="preserve">Figure </w:t>
                            </w:r>
                            <w:r w:rsidR="006C159C">
                              <w:t>11</w:t>
                            </w:r>
                            <w:r>
                              <w:t>. Top 10 countries by recycled rates in 2017</w:t>
                            </w:r>
                          </w:p>
                          <w:p w14:paraId="057E0823" w14:textId="77777777" w:rsidR="00501A59" w:rsidRPr="000A1375" w:rsidRDefault="00501A59" w:rsidP="00501A59">
                            <w:pPr>
                              <w:spacing w:after="0"/>
                            </w:pPr>
                            <w:r w:rsidRPr="000A1375">
                              <w:rPr>
                                <w:i/>
                                <w:iCs/>
                                <w:color w:val="44546A" w:themeColor="text2"/>
                                <w:sz w:val="18"/>
                                <w:szCs w:val="18"/>
                              </w:rPr>
                              <w:t>Source:</w:t>
                            </w:r>
                            <w:r>
                              <w:t xml:space="preserve"> </w:t>
                            </w:r>
                            <w:hyperlink r:id="rId32" w:history="1">
                              <w:r w:rsidRPr="000A1375">
                                <w:rPr>
                                  <w:rStyle w:val="Hipercze"/>
                                  <w:sz w:val="18"/>
                                </w:rPr>
                                <w:t>https://www.weforum.org/agenda/2017/12/germany-recycles-more-than-any-other-country/</w:t>
                              </w:r>
                            </w:hyperlink>
                            <w:r>
                              <w:t xml:space="preserve"> </w:t>
                            </w:r>
                            <w:r w:rsidRPr="000A1375">
                              <w:rPr>
                                <w:i/>
                                <w:iCs/>
                                <w:color w:val="44546A" w:themeColor="text2"/>
                                <w:sz w:val="18"/>
                                <w:szCs w:val="18"/>
                              </w:rPr>
                              <w:t>(05.11.2019)</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290F407" id="Text Box 64" o:spid="_x0000_s1035" type="#_x0000_t202" style="position:absolute;margin-left:-30.05pt;margin-top:169.1pt;width:459.5pt;height:25pt;z-index:-251527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" stroked="f">
                <v:textbox inset="0,0,0,0">
                  <w:txbxContent>
                    <w:p w14:paraId="4ACBBF7D" w14:textId="77777777" w:rsidR="00501A59" w:rsidRDefault="00501A59" w:rsidP="00501A59">
                      <w:pPr>
                        <w:pStyle w:val="Legenda"/>
                        <w:spacing w:after="0"/>
                      </w:pPr>
                      <w:r>
                        <w:t xml:space="preserve">Figure </w:t>
                      </w:r>
                      <w:r w:rsidR="006C159C">
                        <w:t>11</w:t>
                      </w:r>
                      <w:r>
                        <w:t>. Top 10 countries by recycled rates in 2017</w:t>
                      </w:r>
                    </w:p>
                    <w:p w14:paraId="057E0823" w14:textId="77777777" w:rsidR="00501A59" w:rsidRPr="000A1375" w:rsidRDefault="00501A59" w:rsidP="00501A59">
                      <w:pPr>
                        <w:spacing w:after="0"/>
                      </w:pPr>
                      <w:r w:rsidRPr="000A1375">
                        <w:rPr>
                          <w:i/>
                          <w:iCs/>
                          <w:color w:val="44546A" w:themeColor="text2"/>
                          <w:sz w:val="18"/>
                          <w:szCs w:val="18"/>
                        </w:rPr>
                        <w:t>Source:</w:t>
                      </w:r>
                      <w:r>
                        <w:t xml:space="preserve"> </w:t>
                      </w:r>
                      <w:hyperlink r:id="rId33" w:history="1">
                        <w:r w:rsidRPr="000A1375">
                          <w:rPr>
                            <w:rStyle w:val="Hipercze"/>
                            <w:sz w:val="18"/>
                          </w:rPr>
                          <w:t>https://www.weforum.org/agenda/2017/12/germany-recycles-more-than-any-other-country/</w:t>
                        </w:r>
                      </w:hyperlink>
                      <w:r>
                        <w:t xml:space="preserve"> </w:t>
                      </w:r>
                      <w:r w:rsidRPr="000A1375">
                        <w:rPr>
                          <w:i/>
                          <w:iCs/>
                          <w:color w:val="44546A" w:themeColor="text2"/>
                          <w:sz w:val="18"/>
                          <w:szCs w:val="18"/>
                        </w:rPr>
                        <w:t>(05.11.2019)</w:t>
                      </w:r>
                    </w:p>
                  </w:txbxContent>
                </v:textbox>
              </v:shape>
            </w:pict>
          </mc:Fallback>
        </mc:AlternateContent>
      </w:r>
      <w:r w:rsidRPr="004F564F">
        <w:rPr>
          <w:sz w:val="20"/>
        </w:rPr>
        <w:br w:type="page"/>
      </w:r>
    </w:p>
    <w:p w14:paraId="51AF9250" w14:textId="77777777" w:rsidR="00B54814" w:rsidRPr="004F564F" w:rsidRDefault="00B54814" w:rsidP="00B54814">
      <w:pPr>
        <w:pStyle w:val="Akapitzlist"/>
        <w:spacing w:after="240"/>
        <w:jc w:val="both"/>
        <w:rPr>
          <w:sz w:val="20"/>
          <w:lang w:val="pl-PL"/>
        </w:rPr>
      </w:pPr>
    </w:p>
    <w:p w14:paraId="578CFB46" w14:textId="77777777" w:rsidR="00B54814" w:rsidRPr="004F564F" w:rsidRDefault="00B54814" w:rsidP="00B54814">
      <w:pPr>
        <w:spacing w:after="240"/>
        <w:jc w:val="both"/>
        <w:rPr>
          <w:sz w:val="20"/>
          <w:lang w:val="pl-PL"/>
        </w:rPr>
      </w:pPr>
      <w:r w:rsidRPr="004F564F">
        <w:rPr>
          <w:sz w:val="20"/>
          <w:lang w:val="pl-PL"/>
        </w:rPr>
        <w:t>SLAJD 3</w:t>
      </w:r>
    </w:p>
    <w:p w14:paraId="5690A211" w14:textId="77777777" w:rsidR="00B54814" w:rsidRPr="004F564F" w:rsidRDefault="00B54814" w:rsidP="00B54814">
      <w:pPr>
        <w:spacing w:after="240"/>
        <w:jc w:val="both"/>
        <w:rPr>
          <w:sz w:val="20"/>
          <w:lang w:val="pl-PL"/>
        </w:rPr>
      </w:pPr>
      <w:r w:rsidRPr="004F564F">
        <w:rPr>
          <w:sz w:val="20"/>
          <w:lang w:val="pl-PL"/>
        </w:rPr>
        <w:t>Gospodarka wodna</w:t>
      </w:r>
    </w:p>
    <w:p w14:paraId="05A646C3" w14:textId="77777777" w:rsidR="00B54814" w:rsidRPr="004F564F" w:rsidRDefault="00B54814" w:rsidP="00B54814">
      <w:pPr>
        <w:spacing w:after="240"/>
        <w:jc w:val="both"/>
        <w:rPr>
          <w:sz w:val="20"/>
          <w:lang w:val="pl-PL"/>
        </w:rPr>
      </w:pPr>
      <w:r w:rsidRPr="004F564F">
        <w:rPr>
          <w:sz w:val="20"/>
          <w:lang w:val="pl-PL"/>
        </w:rPr>
        <w:t>Woda jest fundamentalna. Prawie każdą inną substancję lub materiał, które są częścią codziennego użycia, można zastąpić, ale nie wodę. Całkowicie od tego zależą całe gałęzie przemysłu, od rolnictwa przez towary po produkcję dóbr codziennego użytku.</w:t>
      </w:r>
      <w:r w:rsidRPr="004F564F">
        <w:rPr>
          <w:rStyle w:val="Odwoanieprzypisudolnego"/>
          <w:sz w:val="20"/>
        </w:rPr>
        <w:t xml:space="preserve"> </w:t>
      </w:r>
      <w:r w:rsidRPr="004F564F">
        <w:rPr>
          <w:rStyle w:val="Odwoanieprzypisudolnego"/>
          <w:sz w:val="20"/>
        </w:rPr>
        <w:footnoteReference w:id="11"/>
      </w:r>
    </w:p>
    <w:p w14:paraId="56F55F7C" w14:textId="77777777" w:rsidR="00B54814" w:rsidRPr="004F564F" w:rsidRDefault="00B54814" w:rsidP="00B54814">
      <w:pPr>
        <w:spacing w:after="240"/>
        <w:jc w:val="both"/>
        <w:rPr>
          <w:sz w:val="20"/>
          <w:lang w:val="pl-PL"/>
        </w:rPr>
      </w:pPr>
      <w:r w:rsidRPr="004F564F">
        <w:rPr>
          <w:sz w:val="20"/>
          <w:lang w:val="pl-PL"/>
        </w:rPr>
        <w:t>Od dziesięcioleci kryzys wodny wydaje się coraz bardziej prawdopodobny. Złe zarządzanie zasobami wodnymi może stać się jednym z największych wyzwań, przed jakimi kiedykolwiek stanęła nasza populacja. Przemysł najbardziej narażony na ryzyko to rolnictwo, które zużywa około 70% światowej słodkiej wody. Kryzys wodny w rolnictwie wpływa nie tylko na sektor żywności i napojów, ale także w przypadku odzieży bawełnianej.</w:t>
      </w:r>
    </w:p>
    <w:p w14:paraId="1E5CFE2D" w14:textId="77777777" w:rsidR="00B54814" w:rsidRPr="004F564F" w:rsidRDefault="00B54814" w:rsidP="00B54814">
      <w:pPr>
        <w:pStyle w:val="Akapitzlist"/>
        <w:spacing w:after="240"/>
        <w:ind w:left="0"/>
        <w:jc w:val="both"/>
        <w:rPr>
          <w:sz w:val="20"/>
        </w:rPr>
      </w:pPr>
      <w:r w:rsidRPr="004F564F">
        <w:rPr>
          <w:sz w:val="20"/>
          <w:lang w:val="pl-PL"/>
        </w:rPr>
        <w:t>Woda jest wykorzystywana w 90% światowej produkcji energii (wydobycie surowców, turbiny energetyczne, chłodzenie procesów termicznych oraz emisje czyszczące).</w:t>
      </w:r>
      <w:r w:rsidRPr="004F564F">
        <w:rPr>
          <w:rStyle w:val="Odwoanieprzypisudolnego"/>
          <w:sz w:val="20"/>
        </w:rPr>
        <w:t xml:space="preserve"> </w:t>
      </w:r>
      <w:r w:rsidRPr="004F564F">
        <w:rPr>
          <w:rStyle w:val="Odwoanieprzypisudolnego"/>
          <w:sz w:val="20"/>
        </w:rPr>
        <w:footnoteReference w:id="12"/>
      </w:r>
    </w:p>
    <w:p w14:paraId="708FCDED" w14:textId="77777777" w:rsidR="008075C0" w:rsidRPr="004F564F" w:rsidRDefault="008075C0" w:rsidP="00B54814">
      <w:pPr>
        <w:pStyle w:val="Akapitzlist"/>
        <w:spacing w:after="240"/>
        <w:ind w:left="0"/>
        <w:jc w:val="both"/>
        <w:rPr>
          <w:sz w:val="20"/>
        </w:rPr>
      </w:pPr>
    </w:p>
    <w:p w14:paraId="57DBE52C" w14:textId="77777777" w:rsidR="008075C0" w:rsidRPr="004F564F" w:rsidRDefault="008075C0" w:rsidP="008075C0">
      <w:pPr>
        <w:pStyle w:val="Akapitzlist"/>
        <w:spacing w:after="240"/>
        <w:jc w:val="both"/>
        <w:rPr>
          <w:sz w:val="20"/>
          <w:lang w:val="pl-PL"/>
        </w:rPr>
      </w:pPr>
    </w:p>
    <w:p w14:paraId="29F3AE5D" w14:textId="77777777" w:rsidR="008075C0" w:rsidRPr="004F564F" w:rsidRDefault="008075C0" w:rsidP="008075C0">
      <w:pPr>
        <w:spacing w:after="240"/>
        <w:jc w:val="both"/>
        <w:rPr>
          <w:sz w:val="20"/>
          <w:lang w:val="pl-PL"/>
        </w:rPr>
      </w:pPr>
      <w:r w:rsidRPr="004F564F">
        <w:rPr>
          <w:sz w:val="20"/>
          <w:lang w:val="pl-PL"/>
        </w:rPr>
        <w:t>SLAJD 4</w:t>
      </w:r>
    </w:p>
    <w:p w14:paraId="0474F669" w14:textId="77777777" w:rsidR="008075C0" w:rsidRPr="004F564F" w:rsidRDefault="008075C0" w:rsidP="008075C0">
      <w:pPr>
        <w:spacing w:after="240"/>
        <w:jc w:val="both"/>
        <w:rPr>
          <w:sz w:val="20"/>
          <w:lang w:val="pl-PL"/>
        </w:rPr>
      </w:pPr>
      <w:r w:rsidRPr="004F564F">
        <w:rPr>
          <w:sz w:val="20"/>
          <w:lang w:val="pl-PL"/>
        </w:rPr>
        <w:t>Kryzys klimatyczny</w:t>
      </w:r>
    </w:p>
    <w:p w14:paraId="161DDEB5" w14:textId="77777777" w:rsidR="008075C0" w:rsidRPr="004F564F" w:rsidRDefault="008075C0" w:rsidP="008075C0">
      <w:pPr>
        <w:pStyle w:val="Akapitzlist"/>
        <w:spacing w:after="240"/>
        <w:jc w:val="both"/>
        <w:rPr>
          <w:sz w:val="20"/>
          <w:lang w:val="pl-PL"/>
        </w:rPr>
      </w:pPr>
    </w:p>
    <w:p w14:paraId="12F580F3" w14:textId="77777777" w:rsidR="008075C0" w:rsidRPr="004F564F" w:rsidRDefault="002E3D86" w:rsidP="008075C0">
      <w:pPr>
        <w:pStyle w:val="Akapitzlist"/>
        <w:spacing w:after="240"/>
        <w:ind w:left="0"/>
        <w:jc w:val="both"/>
        <w:rPr>
          <w:sz w:val="20"/>
          <w:lang w:val="pl-PL"/>
        </w:rPr>
      </w:pPr>
      <w:r w:rsidRPr="004F564F">
        <w:rPr>
          <w:sz w:val="20"/>
          <w:lang w:val="pl-PL"/>
        </w:rPr>
        <w:t>Zmiana klimatu jest wymienia</w:t>
      </w:r>
      <w:r w:rsidR="008075C0" w:rsidRPr="004F564F">
        <w:rPr>
          <w:sz w:val="20"/>
          <w:lang w:val="pl-PL"/>
        </w:rPr>
        <w:t>na jako największe wyzwanie, przed jakim stają dziś ludzie. Wzrost średniej temperatury w ostatnim stuleciu (patrz ryc. 12) jest poważny, chociaż niektórzy nadal dyskutują o wpływie człowieka na zmiany klimatu, IPCC (Międzyrządowy Zespół ds. Zmian Klimatu) i wszystkie główne gospodarki popierają twierdzenie, że działania ludzkie spowodowały większość tych zmian z powodu produkcj</w:t>
      </w:r>
      <w:r w:rsidRPr="004F564F">
        <w:rPr>
          <w:sz w:val="20"/>
          <w:lang w:val="pl-PL"/>
        </w:rPr>
        <w:t>i</w:t>
      </w:r>
      <w:r w:rsidR="008075C0" w:rsidRPr="004F564F">
        <w:rPr>
          <w:sz w:val="20"/>
          <w:lang w:val="pl-PL"/>
        </w:rPr>
        <w:t xml:space="preserve"> gazów cieplarnianych.</w:t>
      </w:r>
    </w:p>
    <w:p w14:paraId="6F60B0C8" w14:textId="77777777" w:rsidR="00FF6B90" w:rsidRPr="004F564F" w:rsidRDefault="006C159C" w:rsidP="005E155F">
      <w:pPr>
        <w:spacing w:after="0"/>
        <w:rPr>
          <w:sz w:val="20"/>
        </w:rPr>
      </w:pPr>
      <w:r w:rsidRPr="004F564F">
        <w:rPr>
          <w:noProof/>
          <w:lang w:eastAsia="en-GB"/>
        </w:rPr>
        <w:drawing>
          <wp:anchor distT="0" distB="0" distL="114300" distR="114300" simplePos="0" relativeHeight="251793408" behindDoc="0" locked="0" layoutInCell="1" allowOverlap="1" wp14:anchorId="0C15B5CA" wp14:editId="37EBBE94">
            <wp:simplePos x="0" y="0"/>
            <wp:positionH relativeFrom="margin">
              <wp:posOffset>0</wp:posOffset>
            </wp:positionH>
            <wp:positionV relativeFrom="paragraph">
              <wp:posOffset>58983</wp:posOffset>
            </wp:positionV>
            <wp:extent cx="4572000" cy="2743200"/>
            <wp:effectExtent l="0" t="0" r="0" b="0"/>
            <wp:wrapNone/>
            <wp:docPr id="2" name="Chart 2">
              <a:extLst xmlns:a="http://schemas.openxmlformats.org/drawingml/2006/main">
                <a:ext uri="{FF2B5EF4-FFF2-40B4-BE49-F238E27FC236}">
                  <a16:creationId xmlns:a16="http://schemas.microsoft.com/office/drawing/2014/main" id="{A144CEE3-764B-4C98-80A3-2D770126EA1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anchor>
        </w:drawing>
      </w:r>
    </w:p>
    <w:p w14:paraId="6B6AE5EF" w14:textId="77777777" w:rsidR="005E155F" w:rsidRPr="004F564F" w:rsidRDefault="005E155F" w:rsidP="005E155F">
      <w:pPr>
        <w:spacing w:after="0"/>
        <w:rPr>
          <w:sz w:val="20"/>
        </w:rPr>
      </w:pPr>
    </w:p>
    <w:p w14:paraId="7F03F6A2" w14:textId="77777777" w:rsidR="00FF6B90" w:rsidRPr="004F564F" w:rsidRDefault="00FF6B90" w:rsidP="005E155F">
      <w:pPr>
        <w:spacing w:after="0"/>
        <w:rPr>
          <w:sz w:val="20"/>
        </w:rPr>
      </w:pPr>
    </w:p>
    <w:p w14:paraId="5619ABF2" w14:textId="77777777" w:rsidR="00FF6B90" w:rsidRPr="004F564F" w:rsidRDefault="00FF6B90" w:rsidP="005E155F">
      <w:pPr>
        <w:spacing w:after="0"/>
        <w:rPr>
          <w:sz w:val="20"/>
        </w:rPr>
      </w:pPr>
    </w:p>
    <w:p w14:paraId="31E64FF0" w14:textId="77777777" w:rsidR="00FF6B90" w:rsidRPr="004F564F" w:rsidRDefault="00FF6B90" w:rsidP="005E155F">
      <w:pPr>
        <w:spacing w:after="0"/>
        <w:rPr>
          <w:sz w:val="20"/>
        </w:rPr>
      </w:pPr>
    </w:p>
    <w:p w14:paraId="6B9568AD" w14:textId="77777777" w:rsidR="00FF6B90" w:rsidRPr="004F564F" w:rsidRDefault="00FF6B90" w:rsidP="005E155F">
      <w:pPr>
        <w:spacing w:after="0"/>
        <w:rPr>
          <w:sz w:val="20"/>
        </w:rPr>
      </w:pPr>
    </w:p>
    <w:p w14:paraId="5DDDA16B" w14:textId="77777777" w:rsidR="00FF6B90" w:rsidRPr="004F564F" w:rsidRDefault="00FF6B90" w:rsidP="005E155F">
      <w:pPr>
        <w:spacing w:after="0"/>
        <w:rPr>
          <w:sz w:val="20"/>
        </w:rPr>
      </w:pPr>
    </w:p>
    <w:p w14:paraId="1A86675B" w14:textId="77777777" w:rsidR="00FF6B90" w:rsidRPr="004F564F" w:rsidRDefault="00FF6B90" w:rsidP="005E155F">
      <w:pPr>
        <w:spacing w:after="0"/>
        <w:rPr>
          <w:sz w:val="20"/>
        </w:rPr>
      </w:pPr>
    </w:p>
    <w:p w14:paraId="3137CD99" w14:textId="77777777" w:rsidR="00FF6B90" w:rsidRPr="004F564F" w:rsidRDefault="00FF6B90" w:rsidP="005E155F">
      <w:pPr>
        <w:spacing w:after="0"/>
        <w:rPr>
          <w:sz w:val="20"/>
        </w:rPr>
      </w:pPr>
    </w:p>
    <w:p w14:paraId="44D7419F" w14:textId="77777777" w:rsidR="00FF6B90" w:rsidRPr="004F564F" w:rsidRDefault="00FF6B90" w:rsidP="005E155F">
      <w:pPr>
        <w:spacing w:after="0"/>
        <w:rPr>
          <w:sz w:val="20"/>
        </w:rPr>
      </w:pPr>
    </w:p>
    <w:p w14:paraId="10FD3ED7" w14:textId="77777777" w:rsidR="00FF6B90" w:rsidRPr="004F564F" w:rsidRDefault="00FF6B90" w:rsidP="005E155F">
      <w:pPr>
        <w:spacing w:after="0"/>
        <w:rPr>
          <w:sz w:val="20"/>
        </w:rPr>
      </w:pPr>
    </w:p>
    <w:p w14:paraId="5E607BEB" w14:textId="77777777" w:rsidR="00FF6B90" w:rsidRPr="004F564F" w:rsidRDefault="00FF6B90" w:rsidP="005E155F">
      <w:pPr>
        <w:spacing w:after="0"/>
        <w:rPr>
          <w:sz w:val="20"/>
        </w:rPr>
      </w:pPr>
    </w:p>
    <w:p w14:paraId="367EE0F4" w14:textId="77777777" w:rsidR="00FF6B90" w:rsidRPr="004F564F" w:rsidRDefault="00FF6B90" w:rsidP="005E155F">
      <w:pPr>
        <w:spacing w:after="0"/>
        <w:rPr>
          <w:sz w:val="20"/>
        </w:rPr>
      </w:pPr>
    </w:p>
    <w:p w14:paraId="3C88D0C6" w14:textId="77777777" w:rsidR="00FF6B90" w:rsidRPr="004F564F" w:rsidRDefault="00FF6B90" w:rsidP="005E155F">
      <w:pPr>
        <w:spacing w:after="0"/>
        <w:rPr>
          <w:sz w:val="20"/>
        </w:rPr>
      </w:pPr>
    </w:p>
    <w:p w14:paraId="67BE177D" w14:textId="77777777" w:rsidR="00FF6B90" w:rsidRPr="004F564F" w:rsidRDefault="00FF6B90" w:rsidP="005E155F">
      <w:pPr>
        <w:spacing w:after="0"/>
        <w:rPr>
          <w:sz w:val="20"/>
        </w:rPr>
      </w:pPr>
    </w:p>
    <w:p w14:paraId="02981545" w14:textId="77777777" w:rsidR="00FF6B90" w:rsidRPr="004F564F" w:rsidRDefault="00FF6B90" w:rsidP="005E155F">
      <w:pPr>
        <w:spacing w:after="0"/>
        <w:rPr>
          <w:sz w:val="20"/>
        </w:rPr>
      </w:pPr>
    </w:p>
    <w:p w14:paraId="1F74990A" w14:textId="77777777" w:rsidR="006C159C" w:rsidRPr="004F564F" w:rsidRDefault="006C159C" w:rsidP="005E155F">
      <w:pPr>
        <w:spacing w:after="0"/>
        <w:rPr>
          <w:sz w:val="20"/>
        </w:rPr>
      </w:pPr>
      <w:r w:rsidRPr="004F564F">
        <w:rPr>
          <w:noProof/>
          <w:lang w:eastAsia="en-GB"/>
        </w:rPr>
        <mc:AlternateContent>
          <mc:Choice Requires="wps">
            <w:drawing>
              <wp:anchor distT="0" distB="0" distL="114300" distR="114300" simplePos="0" relativeHeight="251795456" behindDoc="0" locked="0" layoutInCell="1" allowOverlap="1" wp14:anchorId="69FB1672" wp14:editId="6098F5B8">
                <wp:simplePos x="0" y="0"/>
                <wp:positionH relativeFrom="column">
                  <wp:posOffset>0</wp:posOffset>
                </wp:positionH>
                <wp:positionV relativeFrom="paragraph">
                  <wp:posOffset>47697</wp:posOffset>
                </wp:positionV>
                <wp:extent cx="4826000" cy="318135"/>
                <wp:effectExtent l="0" t="0" r="0" b="5715"/>
                <wp:wrapNone/>
                <wp:docPr id="66" name="Text Box 66"/>
                <wp:cNvGraphicFramePr/>
                <a:graphic xmlns:a="http://schemas.openxmlformats.org/drawingml/2006/main">
                  <a:graphicData uri="http://schemas.microsoft.com/office/word/2010/wordprocessingShape">
                    <wps:wsp>
                      <wps:cNvSpPr txBox="1"/>
                      <wps:spPr>
                        <a:xfrm>
                          <a:off x="0" y="0"/>
                          <a:ext cx="4826000" cy="318135"/>
                        </a:xfrm>
                        <a:prstGeom prst="rect">
                          <a:avLst/>
                        </a:prstGeom>
                        <a:solidFill>
                          <a:prstClr val="white"/>
                        </a:solidFill>
                        <a:ln>
                          <a:noFill/>
                        </a:ln>
                      </wps:spPr>
                      <wps:txbx>
                        <w:txbxContent>
                          <w:p w14:paraId="701367F1" w14:textId="77777777" w:rsidR="006C159C" w:rsidRDefault="006C159C" w:rsidP="006C159C">
                            <w:pPr>
                              <w:pStyle w:val="Legenda"/>
                              <w:spacing w:after="0"/>
                            </w:pPr>
                            <w:r>
                              <w:t>Figure 12. Global mean surface temperature</w:t>
                            </w:r>
                          </w:p>
                          <w:p w14:paraId="33877FD6" w14:textId="77777777" w:rsidR="006C159C" w:rsidRPr="008F14FA" w:rsidRDefault="006C159C" w:rsidP="006C159C">
                            <w:pPr>
                              <w:pStyle w:val="Legenda"/>
                              <w:spacing w:after="0"/>
                              <w:rPr>
                                <w:noProof/>
                              </w:rPr>
                            </w:pPr>
                            <w:r>
                              <w:t xml:space="preserve">Source: </w:t>
                            </w:r>
                            <w:hyperlink r:id="rId35" w:history="1">
                              <w:r>
                                <w:rPr>
                                  <w:rStyle w:val="Hipercze"/>
                                </w:rPr>
                                <w:t>https://earthobservatory.nasa.gov/features/GlobalWarming/page2.php</w:t>
                              </w:r>
                            </w:hyperlink>
                            <w:r>
                              <w:t xml:space="preserve"> (05.11.2019)</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FB1672" id="Text Box 66" o:spid="_x0000_s1036" type="#_x0000_t202" style="position:absolute;margin-left:0;margin-top:3.75pt;width:380pt;height:25.05pt;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" stroked="f">
                <v:textbox inset="0,0,0,0">
                  <w:txbxContent>
                    <w:p w14:paraId="701367F1" w14:textId="77777777" w:rsidR="006C159C" w:rsidRDefault="006C159C" w:rsidP="006C159C">
                      <w:pPr>
                        <w:pStyle w:val="Legenda"/>
                        <w:spacing w:after="0"/>
                      </w:pPr>
                      <w:r>
                        <w:t>Figure 12. Global mean surface temperature</w:t>
                      </w:r>
                    </w:p>
                    <w:p w14:paraId="33877FD6" w14:textId="77777777" w:rsidR="006C159C" w:rsidRPr="008F14FA" w:rsidRDefault="006C159C" w:rsidP="006C159C">
                      <w:pPr>
                        <w:pStyle w:val="Legenda"/>
                        <w:spacing w:after="0"/>
                        <w:rPr>
                          <w:noProof/>
                        </w:rPr>
                      </w:pPr>
                      <w:r>
                        <w:t xml:space="preserve">Source: </w:t>
                      </w:r>
                      <w:hyperlink r:id="rId36" w:history="1">
                        <w:r>
                          <w:rPr>
                            <w:rStyle w:val="Hipercze"/>
                          </w:rPr>
                          <w:t>https://earthobservatory.nasa.gov/features/GlobalWarming/page2.php</w:t>
                        </w:r>
                      </w:hyperlink>
                      <w:r>
                        <w:t xml:space="preserve"> (05.11.2019)</w:t>
                      </w:r>
                    </w:p>
                  </w:txbxContent>
                </v:textbox>
              </v:shape>
            </w:pict>
          </mc:Fallback>
        </mc:AlternateContent>
      </w:r>
    </w:p>
    <w:p w14:paraId="571FC51D" w14:textId="77777777" w:rsidR="006C159C" w:rsidRPr="004F564F" w:rsidRDefault="006C159C" w:rsidP="005E155F">
      <w:pPr>
        <w:spacing w:after="0"/>
        <w:rPr>
          <w:sz w:val="20"/>
        </w:rPr>
      </w:pPr>
    </w:p>
    <w:p w14:paraId="78D9C804" w14:textId="77777777" w:rsidR="006C159C" w:rsidRPr="004F564F" w:rsidRDefault="006C159C" w:rsidP="005E155F">
      <w:pPr>
        <w:spacing w:after="0"/>
        <w:rPr>
          <w:sz w:val="20"/>
        </w:rPr>
      </w:pPr>
    </w:p>
    <w:p w14:paraId="55DB4387" w14:textId="77777777" w:rsidR="002E3D86" w:rsidRPr="004F564F" w:rsidRDefault="002E3D86" w:rsidP="006C159C">
      <w:pPr>
        <w:spacing w:after="0"/>
        <w:rPr>
          <w:sz w:val="20"/>
          <w:lang w:val="pl-PL"/>
        </w:rPr>
      </w:pPr>
      <w:r w:rsidRPr="004F564F">
        <w:rPr>
          <w:sz w:val="20"/>
          <w:lang w:val="pl-PL"/>
        </w:rPr>
        <w:t xml:space="preserve">Według ostatniego dostępnego pełnego raportu IPCC (2014) istnieje kilka scenariuszy dla CO2, a zatemi zmian temperatury. W najbardziej pesymistycznym scenariuszu (najwyższe emisje) średnia temperatura powierzchni zwiększyłaby się o 4 ° C do 2100 r. Scenariusz najbardziej optymistyczny zakłada wzrost temperatury powierzchni o 1 ° do 2100 roku. </w:t>
      </w:r>
    </w:p>
    <w:p w14:paraId="57BA7878" w14:textId="77777777" w:rsidR="00F5728B" w:rsidRPr="004F564F" w:rsidRDefault="00F5728B" w:rsidP="005E155F">
      <w:pPr>
        <w:spacing w:after="0"/>
        <w:rPr>
          <w:sz w:val="20"/>
        </w:rPr>
      </w:pPr>
    </w:p>
    <w:p w14:paraId="27AC790C" w14:textId="77777777" w:rsidR="002E3D86" w:rsidRPr="004F564F" w:rsidRDefault="002E3D86" w:rsidP="002E3D86">
      <w:pPr>
        <w:rPr>
          <w:sz w:val="20"/>
          <w:lang w:val="pl-PL"/>
        </w:rPr>
      </w:pPr>
      <w:r w:rsidRPr="004F564F">
        <w:rPr>
          <w:sz w:val="20"/>
          <w:lang w:val="pl-PL"/>
        </w:rPr>
        <w:t>SLAJD 5</w:t>
      </w:r>
    </w:p>
    <w:p w14:paraId="1EAC98F4" w14:textId="77777777" w:rsidR="002E3D86" w:rsidRPr="004F564F" w:rsidRDefault="002E3D86" w:rsidP="002E3D86">
      <w:pPr>
        <w:rPr>
          <w:sz w:val="20"/>
          <w:lang w:val="pl-PL"/>
        </w:rPr>
      </w:pPr>
      <w:r w:rsidRPr="004F564F">
        <w:rPr>
          <w:sz w:val="20"/>
          <w:lang w:val="pl-PL"/>
        </w:rPr>
        <w:t>Efektywne zużycie energii</w:t>
      </w:r>
    </w:p>
    <w:p w14:paraId="5E748914" w14:textId="77777777" w:rsidR="002E3D86" w:rsidRPr="004F564F" w:rsidRDefault="002E3D86" w:rsidP="002E3D86">
      <w:pPr>
        <w:rPr>
          <w:sz w:val="20"/>
          <w:lang w:val="pl-PL"/>
        </w:rPr>
      </w:pPr>
    </w:p>
    <w:p w14:paraId="37BBA633" w14:textId="77777777" w:rsidR="002E3D86" w:rsidRPr="004F564F" w:rsidRDefault="002E3D86" w:rsidP="002E3D86">
      <w:pPr>
        <w:rPr>
          <w:sz w:val="20"/>
          <w:lang w:val="pl-PL"/>
        </w:rPr>
      </w:pPr>
      <w:r w:rsidRPr="004F564F">
        <w:rPr>
          <w:sz w:val="20"/>
          <w:lang w:val="pl-PL"/>
        </w:rPr>
        <w:t>Efektywne zużycie energii, nazywane efektywnością energetyczną, polega na mniejszym zużyciu energii, aby zapewnić ten sam poziom usług energetycznych. Według Międzynarodowej Agencji Energii energooszczędne budynki, procesy przemysłowe i transport mogłyby zmniejszyć światowe zapotrzebowanie na energię w 2050 r. o jedną trzecią i pomóc kontrolować globalną emisję gazów cieplarnianych.</w:t>
      </w:r>
    </w:p>
    <w:p w14:paraId="34E3B584" w14:textId="77777777" w:rsidR="002E3D86" w:rsidRPr="004F564F" w:rsidRDefault="002E3D86" w:rsidP="002E3D86">
      <w:pPr>
        <w:rPr>
          <w:sz w:val="20"/>
          <w:lang w:val="pl-PL"/>
        </w:rPr>
      </w:pPr>
      <w:r w:rsidRPr="004F564F">
        <w:rPr>
          <w:sz w:val="20"/>
          <w:lang w:val="pl-PL"/>
        </w:rPr>
        <w:t>Zwiększenie efektywności energetycznej domów, pojazdów i firm jest postrzegane jako w dużej mierze niewykorzystane rozwiązanie problemów zanieczyszczenia, globalnego ocieplenia, bezpieczeństwa energetycznego i wyczerpania się paliw kopalnych.</w:t>
      </w:r>
      <w:r w:rsidRPr="004F564F">
        <w:rPr>
          <w:rStyle w:val="Odwoanieprzypisudolnego"/>
          <w:sz w:val="20"/>
        </w:rPr>
        <w:t xml:space="preserve"> </w:t>
      </w:r>
      <w:r w:rsidRPr="004F564F">
        <w:rPr>
          <w:rStyle w:val="Odwoanieprzypisudolnego"/>
          <w:sz w:val="20"/>
        </w:rPr>
        <w:footnoteReference w:id="13"/>
      </w:r>
    </w:p>
    <w:p w14:paraId="1EB74B44" w14:textId="77777777" w:rsidR="002E3D86" w:rsidRPr="004F564F" w:rsidRDefault="002E3D86" w:rsidP="002E3D86">
      <w:pPr>
        <w:rPr>
          <w:sz w:val="20"/>
          <w:lang w:val="pl-PL"/>
        </w:rPr>
      </w:pPr>
    </w:p>
    <w:p w14:paraId="78CF4006" w14:textId="77777777" w:rsidR="006C159C" w:rsidRPr="004F564F" w:rsidRDefault="002E3D86" w:rsidP="002E3D86">
      <w:pPr>
        <w:rPr>
          <w:sz w:val="20"/>
          <w:lang w:val="pl-PL"/>
        </w:rPr>
      </w:pPr>
      <w:r w:rsidRPr="004F564F">
        <w:rPr>
          <w:sz w:val="20"/>
          <w:lang w:val="pl-PL"/>
        </w:rPr>
        <w:t>Nowoczesne urządzenia, takie jak zamrażarki, piekarniki, kuchenki, zmywarki do naczyń oraz pralki i suszarki do ubrań, zużywają znacznie mniej energii niż starsze urządzenia Obecnie,  energooszczędne lodówki zużywają o 40 procent mniej energii niż konwencjonalne modele z 2001 roku.</w:t>
      </w:r>
      <w:r w:rsidRPr="004F564F">
        <w:rPr>
          <w:rStyle w:val="Odwoanieprzypisudolnego"/>
          <w:rFonts w:ascii="Arial" w:hAnsi="Arial" w:cs="Arial"/>
          <w:color w:val="222222"/>
          <w:sz w:val="21"/>
          <w:szCs w:val="21"/>
          <w:shd w:val="clear" w:color="auto" w:fill="FFFFFF"/>
        </w:rPr>
        <w:t xml:space="preserve"> </w:t>
      </w:r>
      <w:r w:rsidRPr="004F564F">
        <w:rPr>
          <w:rStyle w:val="Odwoanieprzypisudolnego"/>
          <w:rFonts w:ascii="Arial" w:hAnsi="Arial" w:cs="Arial"/>
          <w:color w:val="222222"/>
          <w:sz w:val="21"/>
          <w:szCs w:val="21"/>
          <w:shd w:val="clear" w:color="auto" w:fill="FFFFFF"/>
        </w:rPr>
        <w:footnoteReference w:id="14"/>
      </w:r>
      <w:r w:rsidR="006C159C" w:rsidRPr="004F564F">
        <w:rPr>
          <w:sz w:val="20"/>
          <w:lang w:val="pl-PL"/>
        </w:rPr>
        <w:br w:type="page"/>
      </w:r>
    </w:p>
    <w:p w14:paraId="41D81B98" w14:textId="77777777" w:rsidR="00383812" w:rsidRPr="004F564F" w:rsidRDefault="00383812" w:rsidP="00383812">
      <w:pPr>
        <w:spacing w:after="240"/>
        <w:jc w:val="both"/>
        <w:rPr>
          <w:sz w:val="20"/>
          <w:lang w:val="pl-PL"/>
        </w:rPr>
      </w:pPr>
      <w:r w:rsidRPr="004F564F">
        <w:rPr>
          <w:sz w:val="20"/>
          <w:lang w:val="pl-PL"/>
        </w:rPr>
        <w:lastRenderedPageBreak/>
        <w:t>• LO3: Cele zrównoważonego rozwoju</w:t>
      </w:r>
    </w:p>
    <w:p w14:paraId="1AA761F9" w14:textId="77777777" w:rsidR="00383812" w:rsidRPr="004F564F" w:rsidRDefault="00383812" w:rsidP="00383812">
      <w:pPr>
        <w:spacing w:after="0"/>
        <w:jc w:val="both"/>
        <w:rPr>
          <w:sz w:val="20"/>
          <w:lang w:val="pl-PL"/>
        </w:rPr>
      </w:pPr>
      <w:r w:rsidRPr="004F564F">
        <w:rPr>
          <w:sz w:val="20"/>
          <w:lang w:val="pl-PL"/>
        </w:rPr>
        <w:t>SLIDE 1</w:t>
      </w:r>
    </w:p>
    <w:p w14:paraId="22665970" w14:textId="77777777" w:rsidR="00383812" w:rsidRPr="004F564F" w:rsidRDefault="00383812" w:rsidP="00E42F88">
      <w:pPr>
        <w:pStyle w:val="Akapitzlist"/>
        <w:spacing w:after="240"/>
        <w:ind w:left="0"/>
        <w:jc w:val="both"/>
        <w:rPr>
          <w:sz w:val="20"/>
          <w:lang w:val="pl-PL"/>
        </w:rPr>
      </w:pPr>
      <w:r w:rsidRPr="004F564F">
        <w:rPr>
          <w:sz w:val="20"/>
          <w:lang w:val="pl-PL"/>
        </w:rPr>
        <w:t>Cele zrównoważonego rozwoju zostały ustalone przez Organizację Narodów Zjednoczonych w Nowym Jorku w 2015 roku. Organizacja stworzyła 17 celów, a każdy cel ma swoje własne cele z odpowiednimi technikami pomiaru. Według ONZ świat powinien osiągnąć te cele do 2030 r. Istnieje łącznie 169 celów, przy czym każdy cel ma 1-3 wskaźniki.</w:t>
      </w:r>
    </w:p>
    <w:p w14:paraId="4B81D835" w14:textId="77777777" w:rsidR="0085180E" w:rsidRPr="004F564F" w:rsidRDefault="000932B7" w:rsidP="0085180E">
      <w:pPr>
        <w:spacing w:after="0"/>
        <w:jc w:val="both"/>
        <w:rPr>
          <w:sz w:val="20"/>
          <w:lang w:val="pl-PL"/>
        </w:rPr>
      </w:pPr>
      <w:r w:rsidRPr="004F564F">
        <w:rPr>
          <w:noProof/>
          <w:lang w:eastAsia="en-GB"/>
        </w:rPr>
        <w:drawing>
          <wp:anchor distT="0" distB="0" distL="114300" distR="114300" simplePos="0" relativeHeight="251710464" behindDoc="0" locked="0" layoutInCell="1" allowOverlap="1" wp14:anchorId="671779AB" wp14:editId="0AA38F8F">
            <wp:simplePos x="0" y="0"/>
            <wp:positionH relativeFrom="column">
              <wp:posOffset>0</wp:posOffset>
            </wp:positionH>
            <wp:positionV relativeFrom="paragraph">
              <wp:posOffset>106680</wp:posOffset>
            </wp:positionV>
            <wp:extent cx="4749800" cy="2559050"/>
            <wp:effectExtent l="0" t="0" r="0" b="0"/>
            <wp:wrapThrough wrapText="bothSides">
              <wp:wrapPolygon edited="0">
                <wp:start x="0" y="0"/>
                <wp:lineTo x="0" y="21386"/>
                <wp:lineTo x="21484" y="21386"/>
                <wp:lineTo x="21484"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extLst>
                        <a:ext uri="{28A0092B-C50C-407E-A947-70E740481C1C}">
                          <a14:useLocalDpi xmlns:a14="http://schemas.microsoft.com/office/drawing/2010/main" val="0"/>
                        </a:ext>
                      </a:extLst>
                    </a:blip>
                    <a:stretch>
                      <a:fillRect/>
                    </a:stretch>
                  </pic:blipFill>
                  <pic:spPr>
                    <a:xfrm>
                      <a:off x="0" y="0"/>
                      <a:ext cx="4749800" cy="2559050"/>
                    </a:xfrm>
                    <a:prstGeom prst="rect">
                      <a:avLst/>
                    </a:prstGeom>
                  </pic:spPr>
                </pic:pic>
              </a:graphicData>
            </a:graphic>
            <wp14:sizeRelH relativeFrom="margin">
              <wp14:pctWidth>0</wp14:pctWidth>
            </wp14:sizeRelH>
            <wp14:sizeRelV relativeFrom="margin">
              <wp14:pctHeight>0</wp14:pctHeight>
            </wp14:sizeRelV>
          </wp:anchor>
        </w:drawing>
      </w:r>
    </w:p>
    <w:p w14:paraId="4F503DC6" w14:textId="77777777" w:rsidR="0085180E" w:rsidRPr="004F564F" w:rsidRDefault="0085180E" w:rsidP="0085180E">
      <w:pPr>
        <w:spacing w:after="0"/>
        <w:jc w:val="both"/>
        <w:rPr>
          <w:sz w:val="20"/>
          <w:lang w:val="pl-PL"/>
        </w:rPr>
      </w:pPr>
    </w:p>
    <w:p w14:paraId="545EAA92" w14:textId="77777777" w:rsidR="0085180E" w:rsidRPr="004F564F" w:rsidRDefault="0085180E" w:rsidP="0085180E">
      <w:pPr>
        <w:spacing w:after="0"/>
        <w:jc w:val="both"/>
        <w:rPr>
          <w:sz w:val="20"/>
          <w:lang w:val="pl-PL"/>
        </w:rPr>
      </w:pPr>
    </w:p>
    <w:p w14:paraId="4EC2947B" w14:textId="77777777" w:rsidR="0085180E" w:rsidRPr="004F564F" w:rsidRDefault="0085180E" w:rsidP="0085180E">
      <w:pPr>
        <w:spacing w:after="0"/>
        <w:jc w:val="both"/>
        <w:rPr>
          <w:sz w:val="20"/>
          <w:lang w:val="pl-PL"/>
        </w:rPr>
      </w:pPr>
    </w:p>
    <w:p w14:paraId="19C70CAD" w14:textId="77777777" w:rsidR="0085180E" w:rsidRPr="004F564F" w:rsidRDefault="0085180E" w:rsidP="0085180E">
      <w:pPr>
        <w:spacing w:after="0"/>
        <w:jc w:val="both"/>
        <w:rPr>
          <w:sz w:val="20"/>
          <w:lang w:val="pl-PL"/>
        </w:rPr>
      </w:pPr>
    </w:p>
    <w:p w14:paraId="043E0219" w14:textId="77777777" w:rsidR="000932B7" w:rsidRPr="004F564F" w:rsidRDefault="000932B7" w:rsidP="0085180E">
      <w:pPr>
        <w:spacing w:after="240"/>
        <w:jc w:val="both"/>
        <w:rPr>
          <w:sz w:val="20"/>
          <w:lang w:val="pl-PL"/>
        </w:rPr>
      </w:pPr>
    </w:p>
    <w:p w14:paraId="59E323DD" w14:textId="77777777" w:rsidR="000932B7" w:rsidRPr="004F564F" w:rsidRDefault="000932B7" w:rsidP="0085180E">
      <w:pPr>
        <w:spacing w:after="240"/>
        <w:jc w:val="both"/>
        <w:rPr>
          <w:sz w:val="20"/>
          <w:lang w:val="pl-PL"/>
        </w:rPr>
      </w:pPr>
    </w:p>
    <w:p w14:paraId="79E3CA9F" w14:textId="77777777" w:rsidR="000932B7" w:rsidRPr="004F564F" w:rsidRDefault="000932B7" w:rsidP="0085180E">
      <w:pPr>
        <w:spacing w:after="240"/>
        <w:jc w:val="both"/>
        <w:rPr>
          <w:sz w:val="20"/>
          <w:lang w:val="pl-PL"/>
        </w:rPr>
      </w:pPr>
    </w:p>
    <w:p w14:paraId="32E120D6" w14:textId="77777777" w:rsidR="000932B7" w:rsidRPr="004F564F" w:rsidRDefault="000932B7" w:rsidP="0085180E">
      <w:pPr>
        <w:spacing w:after="240"/>
        <w:jc w:val="both"/>
        <w:rPr>
          <w:sz w:val="20"/>
          <w:lang w:val="pl-PL"/>
        </w:rPr>
      </w:pPr>
    </w:p>
    <w:p w14:paraId="01B57AF4" w14:textId="77777777" w:rsidR="000932B7" w:rsidRPr="004F564F" w:rsidRDefault="000932B7" w:rsidP="0085180E">
      <w:pPr>
        <w:spacing w:after="240"/>
        <w:jc w:val="both"/>
        <w:rPr>
          <w:sz w:val="20"/>
          <w:lang w:val="pl-PL"/>
        </w:rPr>
      </w:pPr>
    </w:p>
    <w:p w14:paraId="2A3A8183" w14:textId="77777777" w:rsidR="000932B7" w:rsidRPr="004F564F" w:rsidRDefault="000932B7" w:rsidP="0085180E">
      <w:pPr>
        <w:spacing w:after="240"/>
        <w:jc w:val="both"/>
        <w:rPr>
          <w:sz w:val="20"/>
          <w:lang w:val="pl-PL"/>
        </w:rPr>
      </w:pPr>
      <w:r w:rsidRPr="004F564F">
        <w:rPr>
          <w:noProof/>
          <w:lang w:eastAsia="en-GB"/>
        </w:rPr>
        <mc:AlternateContent>
          <mc:Choice Requires="wps">
            <w:drawing>
              <wp:anchor distT="0" distB="0" distL="114300" distR="114300" simplePos="0" relativeHeight="251712512" behindDoc="0" locked="0" layoutInCell="1" allowOverlap="1" wp14:anchorId="3FC70CC8" wp14:editId="52423876">
                <wp:simplePos x="0" y="0"/>
                <wp:positionH relativeFrom="column">
                  <wp:posOffset>0</wp:posOffset>
                </wp:positionH>
                <wp:positionV relativeFrom="paragraph">
                  <wp:posOffset>245745</wp:posOffset>
                </wp:positionV>
                <wp:extent cx="4330700" cy="635"/>
                <wp:effectExtent l="0" t="0" r="0" b="0"/>
                <wp:wrapThrough wrapText="bothSides">
                  <wp:wrapPolygon edited="0">
                    <wp:start x="0" y="0"/>
                    <wp:lineTo x="0" y="19851"/>
                    <wp:lineTo x="21473" y="19851"/>
                    <wp:lineTo x="21473" y="0"/>
                    <wp:lineTo x="0" y="0"/>
                  </wp:wrapPolygon>
                </wp:wrapThrough>
                <wp:docPr id="52" name="Text Box 52"/>
                <wp:cNvGraphicFramePr/>
                <a:graphic xmlns:a="http://schemas.openxmlformats.org/drawingml/2006/main">
                  <a:graphicData uri="http://schemas.microsoft.com/office/word/2010/wordprocessingShape">
                    <wps:wsp>
                      <wps:cNvSpPr txBox="1"/>
                      <wps:spPr>
                        <a:xfrm>
                          <a:off x="0" y="0"/>
                          <a:ext cx="4330700" cy="635"/>
                        </a:xfrm>
                        <a:prstGeom prst="rect">
                          <a:avLst/>
                        </a:prstGeom>
                        <a:solidFill>
                          <a:prstClr val="white"/>
                        </a:solidFill>
                        <a:ln>
                          <a:noFill/>
                        </a:ln>
                      </wps:spPr>
                      <wps:txbx>
                        <w:txbxContent>
                          <w:p w14:paraId="6579306B" w14:textId="77777777" w:rsidR="000932B7" w:rsidRDefault="000932B7" w:rsidP="000932B7">
                            <w:pPr>
                              <w:pStyle w:val="Legenda"/>
                              <w:spacing w:after="0"/>
                            </w:pPr>
                            <w:r>
                              <w:t>Figure</w:t>
                            </w:r>
                            <w:r w:rsidR="00DD5A0C">
                              <w:t xml:space="preserve"> </w:t>
                            </w:r>
                            <w:r w:rsidR="006C159C">
                              <w:t>13</w:t>
                            </w:r>
                            <w:r>
                              <w:t>. Sustainable Development Goals</w:t>
                            </w:r>
                          </w:p>
                          <w:p w14:paraId="75436763" w14:textId="77777777" w:rsidR="000932B7" w:rsidRPr="000932B7" w:rsidRDefault="000932B7" w:rsidP="000932B7">
                            <w:pPr>
                              <w:spacing w:after="0"/>
                            </w:pPr>
                            <w:r w:rsidRPr="000932B7">
                              <w:rPr>
                                <w:i/>
                                <w:iCs/>
                                <w:color w:val="44546A" w:themeColor="text2"/>
                                <w:sz w:val="18"/>
                                <w:szCs w:val="18"/>
                              </w:rPr>
                              <w:t>Source:</w:t>
                            </w:r>
                            <w:r w:rsidRPr="000932B7">
                              <w:rPr>
                                <w:i/>
                                <w:iCs/>
                                <w:color w:val="44546A" w:themeColor="text2"/>
                                <w:sz w:val="14"/>
                                <w:szCs w:val="18"/>
                              </w:rPr>
                              <w:t xml:space="preserve"> </w:t>
                            </w:r>
                            <w:hyperlink r:id="rId38" w:history="1">
                              <w:r w:rsidRPr="000932B7">
                                <w:rPr>
                                  <w:rStyle w:val="Hipercze"/>
                                  <w:sz w:val="18"/>
                                </w:rPr>
                                <w:t>https://sustainabledevelopment.un.org/?menu=1300</w:t>
                              </w:r>
                            </w:hyperlink>
                            <w:r>
                              <w:t xml:space="preserve"> </w:t>
                            </w:r>
                            <w:r w:rsidRPr="000932B7">
                              <w:rPr>
                                <w:i/>
                                <w:iCs/>
                                <w:color w:val="44546A" w:themeColor="text2"/>
                                <w:sz w:val="18"/>
                                <w:szCs w:val="18"/>
                              </w:rPr>
                              <w:t>(05.11.2019)</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3FC70CC8" id="Text Box 52" o:spid="_x0000_s1037" type="#_x0000_t202" style="position:absolute;left:0;text-align:left;margin-left:0;margin-top:19.35pt;width:341pt;height:.05pt;z-index:2517125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" stroked="f">
                <v:textbox style="mso-fit-shape-to-text:t" inset="0,0,0,0">
                  <w:txbxContent>
                    <w:p w14:paraId="6579306B" w14:textId="77777777" w:rsidR="000932B7" w:rsidRDefault="000932B7" w:rsidP="000932B7">
                      <w:pPr>
                        <w:pStyle w:val="Legenda"/>
                        <w:spacing w:after="0"/>
                      </w:pPr>
                      <w:r>
                        <w:t>Figure</w:t>
                      </w:r>
                      <w:r w:rsidR="00DD5A0C">
                        <w:t xml:space="preserve"> </w:t>
                      </w:r>
                      <w:r w:rsidR="006C159C">
                        <w:t>13</w:t>
                      </w:r>
                      <w:r>
                        <w:t>. Sustainable Development Goals</w:t>
                      </w:r>
                    </w:p>
                    <w:p w14:paraId="75436763" w14:textId="77777777" w:rsidR="000932B7" w:rsidRPr="000932B7" w:rsidRDefault="000932B7" w:rsidP="000932B7">
                      <w:pPr>
                        <w:spacing w:after="0"/>
                      </w:pPr>
                      <w:r w:rsidRPr="000932B7">
                        <w:rPr>
                          <w:i/>
                          <w:iCs/>
                          <w:color w:val="44546A" w:themeColor="text2"/>
                          <w:sz w:val="18"/>
                          <w:szCs w:val="18"/>
                        </w:rPr>
                        <w:t>Source:</w:t>
                      </w:r>
                      <w:r w:rsidRPr="000932B7">
                        <w:rPr>
                          <w:i/>
                          <w:iCs/>
                          <w:color w:val="44546A" w:themeColor="text2"/>
                          <w:sz w:val="14"/>
                          <w:szCs w:val="18"/>
                        </w:rPr>
                        <w:t xml:space="preserve"> </w:t>
                      </w:r>
                      <w:hyperlink r:id="rId39" w:history="1">
                        <w:r w:rsidRPr="000932B7">
                          <w:rPr>
                            <w:rStyle w:val="Hipercze"/>
                            <w:sz w:val="18"/>
                          </w:rPr>
                          <w:t>https://sustainabledevelopment.un.org/?menu=1300</w:t>
                        </w:r>
                      </w:hyperlink>
                      <w:r>
                        <w:t xml:space="preserve"> </w:t>
                      </w:r>
                      <w:r w:rsidRPr="000932B7">
                        <w:rPr>
                          <w:i/>
                          <w:iCs/>
                          <w:color w:val="44546A" w:themeColor="text2"/>
                          <w:sz w:val="18"/>
                          <w:szCs w:val="18"/>
                        </w:rPr>
                        <w:t>(05.11.2019)</w:t>
                      </w:r>
                    </w:p>
                  </w:txbxContent>
                </v:textbox>
                <w10:wrap type="through"/>
              </v:shape>
            </w:pict>
          </mc:Fallback>
        </mc:AlternateContent>
      </w:r>
    </w:p>
    <w:p w14:paraId="21875224" w14:textId="77777777" w:rsidR="000932B7" w:rsidRPr="004F564F" w:rsidRDefault="000932B7" w:rsidP="0085180E">
      <w:pPr>
        <w:spacing w:after="240"/>
        <w:jc w:val="both"/>
        <w:rPr>
          <w:sz w:val="20"/>
          <w:lang w:val="pl-PL"/>
        </w:rPr>
      </w:pPr>
    </w:p>
    <w:p w14:paraId="5F66E77F" w14:textId="77777777" w:rsidR="00422B94" w:rsidRPr="004F564F" w:rsidRDefault="00422B94" w:rsidP="00422B94">
      <w:pPr>
        <w:spacing w:after="0"/>
        <w:jc w:val="both"/>
        <w:rPr>
          <w:sz w:val="20"/>
        </w:rPr>
      </w:pPr>
      <w:r w:rsidRPr="004F564F">
        <w:rPr>
          <w:sz w:val="20"/>
        </w:rPr>
        <w:t>SLIDE 2</w:t>
      </w:r>
    </w:p>
    <w:p w14:paraId="09CBEABA" w14:textId="77777777" w:rsidR="00383812" w:rsidRPr="004F564F" w:rsidRDefault="00383812" w:rsidP="00E1371B">
      <w:pPr>
        <w:spacing w:after="0"/>
        <w:jc w:val="both"/>
        <w:rPr>
          <w:sz w:val="18"/>
        </w:rPr>
      </w:pPr>
    </w:p>
    <w:p w14:paraId="6EF89126" w14:textId="77777777" w:rsidR="00383812" w:rsidRPr="004F564F" w:rsidRDefault="00383812" w:rsidP="00383812">
      <w:pPr>
        <w:spacing w:after="0"/>
        <w:jc w:val="both"/>
        <w:rPr>
          <w:sz w:val="18"/>
          <w:lang w:val="pl-PL"/>
        </w:rPr>
      </w:pPr>
    </w:p>
    <w:p w14:paraId="50E545C1" w14:textId="77777777" w:rsidR="00383812" w:rsidRPr="004F564F" w:rsidRDefault="00383812" w:rsidP="00383812">
      <w:pPr>
        <w:spacing w:after="0"/>
        <w:jc w:val="both"/>
        <w:rPr>
          <w:sz w:val="18"/>
          <w:lang w:val="pl-PL"/>
        </w:rPr>
      </w:pPr>
      <w:r w:rsidRPr="004F564F">
        <w:rPr>
          <w:sz w:val="18"/>
          <w:lang w:val="pl-PL"/>
        </w:rPr>
        <w:t>Społeczna odpowiedzialność biznesu</w:t>
      </w:r>
    </w:p>
    <w:p w14:paraId="06B1ED23" w14:textId="77777777" w:rsidR="00383812" w:rsidRPr="004F564F" w:rsidRDefault="00383812" w:rsidP="00383812">
      <w:pPr>
        <w:spacing w:after="0"/>
        <w:jc w:val="both"/>
        <w:rPr>
          <w:sz w:val="18"/>
          <w:lang w:val="pl-PL"/>
        </w:rPr>
      </w:pPr>
    </w:p>
    <w:p w14:paraId="72E2FA07" w14:textId="77777777" w:rsidR="00383812" w:rsidRPr="004F564F" w:rsidRDefault="00383812" w:rsidP="00383812">
      <w:pPr>
        <w:spacing w:after="0"/>
        <w:jc w:val="both"/>
        <w:rPr>
          <w:sz w:val="18"/>
          <w:lang w:val="pl-PL"/>
        </w:rPr>
      </w:pPr>
      <w:r w:rsidRPr="004F564F">
        <w:rPr>
          <w:sz w:val="18"/>
          <w:lang w:val="pl-PL"/>
        </w:rPr>
        <w:t>Praktyki społecznej odpowiedzialności biznesu stają się coraz bardziej popularne, ponieważ konsumenci potrzebują większego wpływu ze strony biznesu, aby zmienić świat na lepsze. W indeksie S&amp;P 500 (największe firmy w USA) raport na temat zrównoważonego rozwoju staje się standardem, mimo że firmy te nie są zobowiązane do jego opracowania.</w:t>
      </w:r>
    </w:p>
    <w:p w14:paraId="089EE618" w14:textId="77777777" w:rsidR="00383812" w:rsidRPr="004F564F" w:rsidRDefault="00383812" w:rsidP="00383812">
      <w:pPr>
        <w:spacing w:after="0"/>
        <w:jc w:val="both"/>
        <w:rPr>
          <w:sz w:val="18"/>
          <w:lang w:val="pl-PL"/>
        </w:rPr>
      </w:pPr>
      <w:r w:rsidRPr="004F564F">
        <w:rPr>
          <w:sz w:val="18"/>
          <w:lang w:val="pl-PL"/>
        </w:rPr>
        <w:t>Zrównoważony rozwój oznacza przyjęcie strategii biznesowych i działań, które spełniają potrzeby przedsiębiorstwa i jego różnych interesariuszy, jednocześnie chroniąc, utrzymując i zwiększając zasoby ludzkie i naturalne, które będą potrzebne w przyszłości.</w:t>
      </w:r>
      <w:r w:rsidRPr="004F564F">
        <w:rPr>
          <w:rStyle w:val="Odwoanieprzypisudolnego"/>
          <w:sz w:val="20"/>
        </w:rPr>
        <w:t xml:space="preserve"> </w:t>
      </w:r>
      <w:r w:rsidRPr="004F564F">
        <w:rPr>
          <w:rStyle w:val="Odwoanieprzypisudolnego"/>
          <w:sz w:val="20"/>
        </w:rPr>
        <w:footnoteReference w:id="15"/>
      </w:r>
    </w:p>
    <w:p w14:paraId="52EDCA75" w14:textId="77777777" w:rsidR="00383812" w:rsidRPr="004F564F" w:rsidRDefault="00383812" w:rsidP="00383812">
      <w:pPr>
        <w:spacing w:after="0"/>
        <w:jc w:val="both"/>
        <w:rPr>
          <w:sz w:val="20"/>
        </w:rPr>
      </w:pPr>
    </w:p>
    <w:p w14:paraId="077CDD00" w14:textId="77777777" w:rsidR="00383812" w:rsidRPr="004F564F" w:rsidRDefault="00383812" w:rsidP="00383812">
      <w:pPr>
        <w:autoSpaceDE w:val="0"/>
        <w:autoSpaceDN w:val="0"/>
        <w:adjustRightInd w:val="0"/>
        <w:spacing w:before="240" w:after="0" w:line="240" w:lineRule="auto"/>
        <w:rPr>
          <w:sz w:val="20"/>
          <w:lang w:val="pl-PL"/>
        </w:rPr>
      </w:pPr>
      <w:r w:rsidRPr="004F564F">
        <w:rPr>
          <w:sz w:val="20"/>
          <w:lang w:val="pl-PL"/>
        </w:rPr>
        <w:t>Ważne jest, aby konsumenci “nagradzali” firmy za dobre wyniki, ponieważ jest to najsilniejszy czynnik wpływający na decyzje korporacji.</w:t>
      </w:r>
      <w:r w:rsidR="0027235F" w:rsidRPr="004F564F">
        <w:rPr>
          <w:sz w:val="20"/>
          <w:lang w:val="pl-PL"/>
        </w:rPr>
        <w:t xml:space="preserve"> </w:t>
      </w:r>
    </w:p>
    <w:p w14:paraId="5C36EB17" w14:textId="77777777" w:rsidR="00383812" w:rsidRPr="004F564F" w:rsidRDefault="00383812">
      <w:pPr>
        <w:rPr>
          <w:sz w:val="20"/>
          <w:lang w:val="pl-PL"/>
        </w:rPr>
      </w:pPr>
      <w:r w:rsidRPr="004F564F">
        <w:rPr>
          <w:sz w:val="20"/>
          <w:lang w:val="pl-PL"/>
        </w:rPr>
        <w:br w:type="page"/>
      </w:r>
    </w:p>
    <w:p w14:paraId="41E5C3FF" w14:textId="77777777" w:rsidR="00383812" w:rsidRPr="004F564F" w:rsidRDefault="00383812" w:rsidP="00383812">
      <w:pPr>
        <w:autoSpaceDE w:val="0"/>
        <w:autoSpaceDN w:val="0"/>
        <w:adjustRightInd w:val="0"/>
        <w:spacing w:before="240" w:after="0" w:line="240" w:lineRule="auto"/>
        <w:rPr>
          <w:sz w:val="20"/>
          <w:lang w:val="pl-PL"/>
        </w:rPr>
      </w:pPr>
      <w:r w:rsidRPr="004F564F">
        <w:rPr>
          <w:noProof/>
          <w:lang w:eastAsia="en-GB"/>
        </w:rPr>
        <w:lastRenderedPageBreak/>
        <w:drawing>
          <wp:anchor distT="0" distB="0" distL="114300" distR="114300" simplePos="0" relativeHeight="251790336" behindDoc="0" locked="0" layoutInCell="1" allowOverlap="1" wp14:anchorId="517CDE9C" wp14:editId="423CD3A3">
            <wp:simplePos x="0" y="0"/>
            <wp:positionH relativeFrom="column">
              <wp:posOffset>1680400</wp:posOffset>
            </wp:positionH>
            <wp:positionV relativeFrom="paragraph">
              <wp:posOffset>-217048</wp:posOffset>
            </wp:positionV>
            <wp:extent cx="4158533" cy="2371615"/>
            <wp:effectExtent l="0" t="0" r="0" b="0"/>
            <wp:wrapNone/>
            <wp:docPr id="89" name="Chart 89">
              <a:extLst xmlns:a="http://schemas.openxmlformats.org/drawingml/2006/main">
                <a:ext uri="{FF2B5EF4-FFF2-40B4-BE49-F238E27FC236}">
                  <a16:creationId xmlns:a16="http://schemas.microsoft.com/office/drawing/2014/main" id="{9E81BD4A-B594-4225-9210-EA853D64380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0"/>
              </a:graphicData>
            </a:graphic>
            <wp14:sizeRelH relativeFrom="margin">
              <wp14:pctWidth>0</wp14:pctWidth>
            </wp14:sizeRelH>
            <wp14:sizeRelV relativeFrom="margin">
              <wp14:pctHeight>0</wp14:pctHeight>
            </wp14:sizeRelV>
          </wp:anchor>
        </w:drawing>
      </w:r>
    </w:p>
    <w:p w14:paraId="269CE408" w14:textId="77777777" w:rsidR="00515EB9" w:rsidRPr="004F564F" w:rsidRDefault="00515EB9" w:rsidP="00422B94">
      <w:pPr>
        <w:spacing w:after="240"/>
        <w:jc w:val="both"/>
        <w:rPr>
          <w:sz w:val="20"/>
          <w:lang w:val="pl-PL"/>
        </w:rPr>
      </w:pPr>
    </w:p>
    <w:p w14:paraId="6BE4CAF0" w14:textId="77777777" w:rsidR="00383812" w:rsidRPr="004F564F" w:rsidRDefault="000D410E" w:rsidP="001B2D48">
      <w:pPr>
        <w:spacing w:after="0"/>
        <w:rPr>
          <w:sz w:val="20"/>
          <w:lang w:val="pl-PL"/>
        </w:rPr>
      </w:pPr>
      <w:r w:rsidRPr="004F564F">
        <w:rPr>
          <w:noProof/>
          <w:sz w:val="20"/>
          <w:lang w:eastAsia="en-GB"/>
        </w:rPr>
        <mc:AlternateContent>
          <mc:Choice Requires="wps">
            <w:drawing>
              <wp:anchor distT="0" distB="0" distL="114300" distR="114300" simplePos="0" relativeHeight="251792384" behindDoc="0" locked="0" layoutInCell="1" allowOverlap="1" wp14:anchorId="231E070D" wp14:editId="52014175">
                <wp:simplePos x="0" y="0"/>
                <wp:positionH relativeFrom="column">
                  <wp:posOffset>0</wp:posOffset>
                </wp:positionH>
                <wp:positionV relativeFrom="paragraph">
                  <wp:posOffset>1435865</wp:posOffset>
                </wp:positionV>
                <wp:extent cx="6510759" cy="451412"/>
                <wp:effectExtent l="0" t="0" r="4445" b="6350"/>
                <wp:wrapNone/>
                <wp:docPr id="54" name="Text Box 54"/>
                <wp:cNvGraphicFramePr/>
                <a:graphic xmlns:a="http://schemas.openxmlformats.org/drawingml/2006/main">
                  <a:graphicData uri="http://schemas.microsoft.com/office/word/2010/wordprocessingShape">
                    <wps:wsp>
                      <wps:cNvSpPr txBox="1"/>
                      <wps:spPr>
                        <a:xfrm>
                          <a:off x="0" y="0"/>
                          <a:ext cx="6510759" cy="451412"/>
                        </a:xfrm>
                        <a:prstGeom prst="rect">
                          <a:avLst/>
                        </a:prstGeom>
                        <a:solidFill>
                          <a:prstClr val="white"/>
                        </a:solidFill>
                        <a:ln>
                          <a:noFill/>
                        </a:ln>
                      </wps:spPr>
                      <wps:txbx>
                        <w:txbxContent>
                          <w:p w14:paraId="437505BF" w14:textId="77777777" w:rsidR="000D410E" w:rsidRDefault="000D410E" w:rsidP="000D410E">
                            <w:pPr>
                              <w:pStyle w:val="Legenda"/>
                              <w:spacing w:after="0"/>
                            </w:pPr>
                            <w:r>
                              <w:t xml:space="preserve">Figure </w:t>
                            </w:r>
                            <w:r w:rsidR="006C159C">
                              <w:t>14</w:t>
                            </w:r>
                            <w:r>
                              <w:t>. S&amp;P 500 Companies Sustainability Reporting</w:t>
                            </w:r>
                          </w:p>
                          <w:p w14:paraId="7B6A40DB" w14:textId="77777777" w:rsidR="000D410E" w:rsidRPr="000D410E" w:rsidRDefault="000D410E" w:rsidP="000D410E">
                            <w:pPr>
                              <w:spacing w:after="0"/>
                              <w:rPr>
                                <w:i/>
                                <w:iCs/>
                                <w:color w:val="44546A" w:themeColor="text2"/>
                                <w:sz w:val="18"/>
                                <w:szCs w:val="18"/>
                              </w:rPr>
                            </w:pPr>
                            <w:r w:rsidRPr="00835849">
                              <w:rPr>
                                <w:i/>
                                <w:iCs/>
                                <w:color w:val="44546A" w:themeColor="text2"/>
                                <w:sz w:val="18"/>
                                <w:szCs w:val="18"/>
                              </w:rPr>
                              <w:t xml:space="preserve">Source: </w:t>
                            </w:r>
                            <w:hyperlink r:id="rId41" w:history="1">
                              <w:r w:rsidRPr="000D410E">
                                <w:rPr>
                                  <w:i/>
                                  <w:iCs/>
                                  <w:color w:val="44546A" w:themeColor="text2"/>
                                  <w:sz w:val="18"/>
                                  <w:szCs w:val="18"/>
                                </w:rPr>
                                <w:t>https://www.ga-institute.com/press-releases/article/flash-report-85-of-sp-500-indexR-companies-publish-sustainability-reports-in-2017.html</w:t>
                              </w:r>
                            </w:hyperlink>
                            <w:r w:rsidRPr="000D410E">
                              <w:rPr>
                                <w:i/>
                                <w:iCs/>
                                <w:color w:val="44546A" w:themeColor="text2"/>
                                <w:sz w:val="18"/>
                                <w:szCs w:val="18"/>
                              </w:rPr>
                              <w:t xml:space="preserve"> </w:t>
                            </w:r>
                            <w:r w:rsidRPr="00835849">
                              <w:rPr>
                                <w:i/>
                                <w:iCs/>
                                <w:color w:val="44546A" w:themeColor="text2"/>
                                <w:sz w:val="18"/>
                                <w:szCs w:val="18"/>
                              </w:rPr>
                              <w:t>(05.11.2019)</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1E070D" id="Text Box 54" o:spid="_x0000_s1038" type="#_x0000_t202" style="position:absolute;margin-left:0;margin-top:113.05pt;width:512.65pt;height:35.55pt;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" stroked="f">
                <v:textbox inset="0,0,0,0">
                  <w:txbxContent>
                    <w:p w14:paraId="437505BF" w14:textId="77777777" w:rsidR="000D410E" w:rsidRDefault="000D410E" w:rsidP="000D410E">
                      <w:pPr>
                        <w:pStyle w:val="Legenda"/>
                        <w:spacing w:after="0"/>
                      </w:pPr>
                      <w:r>
                        <w:t xml:space="preserve">Figure </w:t>
                      </w:r>
                      <w:r w:rsidR="006C159C">
                        <w:t>14</w:t>
                      </w:r>
                      <w:r>
                        <w:t>. S&amp;P 500 Companies Sustainability Reporting</w:t>
                      </w:r>
                    </w:p>
                    <w:p w14:paraId="7B6A40DB" w14:textId="77777777" w:rsidR="000D410E" w:rsidRPr="000D410E" w:rsidRDefault="000D410E" w:rsidP="000D410E">
                      <w:pPr>
                        <w:spacing w:after="0"/>
                        <w:rPr>
                          <w:i/>
                          <w:iCs/>
                          <w:color w:val="44546A" w:themeColor="text2"/>
                          <w:sz w:val="18"/>
                          <w:szCs w:val="18"/>
                        </w:rPr>
                      </w:pPr>
                      <w:r w:rsidRPr="00835849">
                        <w:rPr>
                          <w:i/>
                          <w:iCs/>
                          <w:color w:val="44546A" w:themeColor="text2"/>
                          <w:sz w:val="18"/>
                          <w:szCs w:val="18"/>
                        </w:rPr>
                        <w:t xml:space="preserve">Source: </w:t>
                      </w:r>
                      <w:hyperlink r:id="rId42" w:history="1">
                        <w:r w:rsidRPr="000D410E">
                          <w:rPr>
                            <w:i/>
                            <w:iCs/>
                            <w:color w:val="44546A" w:themeColor="text2"/>
                            <w:sz w:val="18"/>
                            <w:szCs w:val="18"/>
                          </w:rPr>
                          <w:t>https://www.ga-institute.com/press-releases/article/flash-report-85-of-sp-500-indexR-companies-publish-sustainability-reports-in-2017.html</w:t>
                        </w:r>
                      </w:hyperlink>
                      <w:r w:rsidRPr="000D410E">
                        <w:rPr>
                          <w:i/>
                          <w:iCs/>
                          <w:color w:val="44546A" w:themeColor="text2"/>
                          <w:sz w:val="18"/>
                          <w:szCs w:val="18"/>
                        </w:rPr>
                        <w:t xml:space="preserve"> </w:t>
                      </w:r>
                      <w:r w:rsidRPr="00835849">
                        <w:rPr>
                          <w:i/>
                          <w:iCs/>
                          <w:color w:val="44546A" w:themeColor="text2"/>
                          <w:sz w:val="18"/>
                          <w:szCs w:val="18"/>
                        </w:rPr>
                        <w:t>(05.11.2019)</w:t>
                      </w:r>
                    </w:p>
                  </w:txbxContent>
                </v:textbox>
              </v:shape>
            </w:pict>
          </mc:Fallback>
        </mc:AlternateContent>
      </w:r>
    </w:p>
    <w:p w14:paraId="434A56B1" w14:textId="77777777" w:rsidR="00383812" w:rsidRPr="004F564F" w:rsidRDefault="00383812" w:rsidP="00383812">
      <w:pPr>
        <w:rPr>
          <w:sz w:val="20"/>
          <w:lang w:val="pl-PL"/>
        </w:rPr>
      </w:pPr>
    </w:p>
    <w:p w14:paraId="15ECA7BC" w14:textId="77777777" w:rsidR="00383812" w:rsidRPr="004F564F" w:rsidRDefault="00383812" w:rsidP="00383812">
      <w:pPr>
        <w:rPr>
          <w:sz w:val="20"/>
          <w:lang w:val="pl-PL"/>
        </w:rPr>
      </w:pPr>
    </w:p>
    <w:p w14:paraId="32EB8C33" w14:textId="77777777" w:rsidR="00383812" w:rsidRPr="004F564F" w:rsidRDefault="00383812" w:rsidP="00383812">
      <w:pPr>
        <w:rPr>
          <w:sz w:val="20"/>
          <w:lang w:val="pl-PL"/>
        </w:rPr>
      </w:pPr>
    </w:p>
    <w:p w14:paraId="116E3D26" w14:textId="77777777" w:rsidR="00383812" w:rsidRPr="004F564F" w:rsidRDefault="00383812" w:rsidP="00383812">
      <w:pPr>
        <w:rPr>
          <w:sz w:val="20"/>
          <w:lang w:val="pl-PL"/>
        </w:rPr>
      </w:pPr>
    </w:p>
    <w:p w14:paraId="4D2C8C42" w14:textId="77777777" w:rsidR="00383812" w:rsidRPr="004F564F" w:rsidRDefault="00383812" w:rsidP="00383812">
      <w:pPr>
        <w:rPr>
          <w:sz w:val="20"/>
          <w:lang w:val="pl-PL"/>
        </w:rPr>
      </w:pPr>
    </w:p>
    <w:p w14:paraId="410D9552" w14:textId="77777777" w:rsidR="00383812" w:rsidRPr="004F564F" w:rsidRDefault="00383812" w:rsidP="00383812">
      <w:pPr>
        <w:rPr>
          <w:sz w:val="20"/>
          <w:lang w:val="pl-PL"/>
        </w:rPr>
      </w:pPr>
    </w:p>
    <w:p w14:paraId="4126405C" w14:textId="77777777" w:rsidR="00383812" w:rsidRPr="004F564F" w:rsidRDefault="00383812" w:rsidP="00383812">
      <w:pPr>
        <w:rPr>
          <w:sz w:val="20"/>
          <w:lang w:val="pl-PL"/>
        </w:rPr>
      </w:pPr>
    </w:p>
    <w:p w14:paraId="737FCD87" w14:textId="77777777" w:rsidR="00383812" w:rsidRPr="004F564F" w:rsidRDefault="00383812" w:rsidP="00383812">
      <w:pPr>
        <w:rPr>
          <w:sz w:val="20"/>
          <w:lang w:val="pl-PL"/>
        </w:rPr>
      </w:pPr>
    </w:p>
    <w:p w14:paraId="08FCB885" w14:textId="77777777" w:rsidR="00383812" w:rsidRPr="004F564F" w:rsidRDefault="00383812" w:rsidP="00383812">
      <w:pPr>
        <w:rPr>
          <w:sz w:val="20"/>
          <w:lang w:val="pl-PL"/>
        </w:rPr>
      </w:pPr>
    </w:p>
    <w:p w14:paraId="623F7F2F" w14:textId="77777777" w:rsidR="00383812" w:rsidRPr="004F564F" w:rsidRDefault="00383812" w:rsidP="001B2D48">
      <w:pPr>
        <w:spacing w:after="0"/>
        <w:rPr>
          <w:sz w:val="20"/>
          <w:lang w:val="pl-PL"/>
        </w:rPr>
      </w:pPr>
    </w:p>
    <w:p w14:paraId="38FF291B" w14:textId="77777777" w:rsidR="00383812" w:rsidRPr="004F564F" w:rsidRDefault="00383812" w:rsidP="001B2D48">
      <w:pPr>
        <w:spacing w:after="0"/>
        <w:rPr>
          <w:sz w:val="20"/>
          <w:lang w:val="pl-PL"/>
        </w:rPr>
      </w:pPr>
    </w:p>
    <w:p w14:paraId="2FD8D464" w14:textId="77777777" w:rsidR="00383812" w:rsidRPr="004F564F" w:rsidRDefault="00383812" w:rsidP="00383812">
      <w:pPr>
        <w:spacing w:after="0"/>
        <w:rPr>
          <w:sz w:val="20"/>
          <w:lang w:val="pl-PL"/>
        </w:rPr>
      </w:pPr>
    </w:p>
    <w:p w14:paraId="2C58C32A" w14:textId="77777777" w:rsidR="00383812" w:rsidRPr="004F564F" w:rsidRDefault="00383812" w:rsidP="00383812">
      <w:pPr>
        <w:spacing w:after="0"/>
        <w:rPr>
          <w:sz w:val="20"/>
          <w:lang w:val="pl-PL"/>
        </w:rPr>
      </w:pPr>
      <w:r w:rsidRPr="004F564F">
        <w:rPr>
          <w:sz w:val="20"/>
          <w:lang w:val="pl-PL"/>
        </w:rPr>
        <w:t>SLAJD 3</w:t>
      </w:r>
    </w:p>
    <w:p w14:paraId="6443FCFE" w14:textId="77777777" w:rsidR="00383812" w:rsidRPr="004F564F" w:rsidRDefault="00383812" w:rsidP="00383812">
      <w:pPr>
        <w:spacing w:after="0"/>
        <w:rPr>
          <w:sz w:val="20"/>
          <w:lang w:val="pl-PL"/>
        </w:rPr>
      </w:pPr>
      <w:r w:rsidRPr="004F564F">
        <w:rPr>
          <w:sz w:val="20"/>
          <w:lang w:val="pl-PL"/>
        </w:rPr>
        <w:t>Bariery w mobilizowaniu kapitału do inwestycji w zieloną gospodarkę</w:t>
      </w:r>
    </w:p>
    <w:p w14:paraId="1F4D9B34" w14:textId="77777777" w:rsidR="00383812" w:rsidRPr="004F564F" w:rsidRDefault="00383812" w:rsidP="00383812">
      <w:pPr>
        <w:spacing w:after="0"/>
        <w:rPr>
          <w:sz w:val="20"/>
          <w:lang w:val="pl-PL"/>
        </w:rPr>
      </w:pPr>
    </w:p>
    <w:p w14:paraId="7F47E830" w14:textId="77777777" w:rsidR="00383812" w:rsidRPr="004F564F" w:rsidRDefault="00383812" w:rsidP="00383812">
      <w:pPr>
        <w:spacing w:after="0"/>
        <w:rPr>
          <w:sz w:val="20"/>
          <w:lang w:val="pl-PL"/>
        </w:rPr>
      </w:pPr>
      <w:r w:rsidRPr="004F564F">
        <w:rPr>
          <w:sz w:val="20"/>
          <w:lang w:val="pl-PL"/>
        </w:rPr>
        <w:t>Grupa analityczna G20 ds. zielonych finansów zwróciła uwagę na szereg barier na drodze do zielonej gospodarki:</w:t>
      </w:r>
    </w:p>
    <w:p w14:paraId="04A37287" w14:textId="77777777" w:rsidR="00383812" w:rsidRPr="004F564F" w:rsidRDefault="00383812" w:rsidP="00383812">
      <w:pPr>
        <w:spacing w:after="0"/>
        <w:rPr>
          <w:sz w:val="20"/>
          <w:lang w:val="pl-PL"/>
        </w:rPr>
      </w:pPr>
      <w:r w:rsidRPr="004F564F">
        <w:rPr>
          <w:sz w:val="20"/>
          <w:lang w:val="pl-PL"/>
        </w:rPr>
        <w:t>• Słabość rurociągów projektowych</w:t>
      </w:r>
    </w:p>
    <w:p w14:paraId="0D6D468A" w14:textId="77777777" w:rsidR="00383812" w:rsidRPr="004F564F" w:rsidRDefault="00383812" w:rsidP="00383812">
      <w:pPr>
        <w:spacing w:after="0"/>
        <w:rPr>
          <w:sz w:val="20"/>
          <w:lang w:val="pl-PL"/>
        </w:rPr>
      </w:pPr>
      <w:r w:rsidRPr="004F564F">
        <w:rPr>
          <w:sz w:val="20"/>
          <w:lang w:val="pl-PL"/>
        </w:rPr>
        <w:t>• Znaczne dodatkowe koszty związane z infrastrukturą „zazieleniania”</w:t>
      </w:r>
    </w:p>
    <w:p w14:paraId="3437D707" w14:textId="77777777" w:rsidR="00383812" w:rsidRPr="004F564F" w:rsidRDefault="00383812" w:rsidP="00383812">
      <w:pPr>
        <w:spacing w:after="0"/>
        <w:rPr>
          <w:sz w:val="20"/>
          <w:lang w:val="pl-PL"/>
        </w:rPr>
      </w:pPr>
      <w:r w:rsidRPr="004F564F">
        <w:rPr>
          <w:sz w:val="20"/>
          <w:lang w:val="pl-PL"/>
        </w:rPr>
        <w:t>• Słabe szanse komercyjne na finansowanie realizacji krajowych priorytetów rozwojowych</w:t>
      </w:r>
    </w:p>
    <w:p w14:paraId="5D40F88A" w14:textId="77777777" w:rsidR="00383812" w:rsidRPr="004F564F" w:rsidRDefault="00383812" w:rsidP="00383812">
      <w:pPr>
        <w:spacing w:after="0"/>
        <w:rPr>
          <w:sz w:val="20"/>
          <w:lang w:val="pl-PL"/>
        </w:rPr>
      </w:pPr>
      <w:r w:rsidRPr="004F564F">
        <w:rPr>
          <w:sz w:val="20"/>
          <w:lang w:val="pl-PL"/>
        </w:rPr>
        <w:t>• Cele klimatyczne lub cele zrównoważonego rozwoju</w:t>
      </w:r>
    </w:p>
    <w:p w14:paraId="208BAD89" w14:textId="77777777" w:rsidR="00383812" w:rsidRPr="004F564F" w:rsidRDefault="00383812" w:rsidP="00383812">
      <w:pPr>
        <w:spacing w:after="0"/>
        <w:rPr>
          <w:sz w:val="20"/>
          <w:lang w:val="pl-PL"/>
        </w:rPr>
      </w:pPr>
      <w:r w:rsidRPr="004F564F">
        <w:rPr>
          <w:sz w:val="20"/>
          <w:lang w:val="pl-PL"/>
        </w:rPr>
        <w:t>• Niedobór lub słabe wykorzystanie dostępnych zasobów publicznych</w:t>
      </w:r>
    </w:p>
    <w:p w14:paraId="298D2DB9" w14:textId="77777777" w:rsidR="006823D6" w:rsidRPr="004F564F" w:rsidRDefault="00383812" w:rsidP="00383812">
      <w:pPr>
        <w:spacing w:after="0"/>
        <w:rPr>
          <w:sz w:val="20"/>
          <w:lang w:val="pl-PL"/>
        </w:rPr>
      </w:pPr>
      <w:r w:rsidRPr="004F564F">
        <w:rPr>
          <w:sz w:val="20"/>
          <w:lang w:val="pl-PL"/>
        </w:rPr>
        <w:t>• Nieodpowiednie środowisko sprzyjające inwestycjom prywatnym</w:t>
      </w:r>
    </w:p>
    <w:p w14:paraId="281FDA97" w14:textId="77777777" w:rsidR="006823D6" w:rsidRPr="004F564F" w:rsidRDefault="006823D6" w:rsidP="006823D6">
      <w:pPr>
        <w:spacing w:after="0"/>
        <w:rPr>
          <w:sz w:val="20"/>
          <w:lang w:val="pl-PL"/>
        </w:rPr>
      </w:pPr>
    </w:p>
    <w:p w14:paraId="69119829" w14:textId="77777777" w:rsidR="006823D6" w:rsidRPr="004F564F" w:rsidRDefault="006823D6" w:rsidP="006823D6">
      <w:pPr>
        <w:spacing w:after="0"/>
        <w:rPr>
          <w:sz w:val="20"/>
          <w:lang w:val="pl-PL"/>
        </w:rPr>
      </w:pPr>
      <w:r w:rsidRPr="004F564F">
        <w:rPr>
          <w:sz w:val="20"/>
          <w:lang w:val="pl-PL"/>
        </w:rPr>
        <w:t>SLAJD 4</w:t>
      </w:r>
    </w:p>
    <w:p w14:paraId="63075DC5" w14:textId="77777777" w:rsidR="006823D6" w:rsidRPr="004F564F" w:rsidRDefault="006823D6" w:rsidP="006823D6">
      <w:pPr>
        <w:spacing w:after="0"/>
        <w:rPr>
          <w:sz w:val="20"/>
          <w:lang w:val="pl-PL"/>
        </w:rPr>
      </w:pPr>
      <w:r w:rsidRPr="004F564F">
        <w:rPr>
          <w:sz w:val="20"/>
          <w:lang w:val="pl-PL"/>
        </w:rPr>
        <w:t>Jak zachęcić firmy do bardziej odpowiedzialnego społecznie inwestowania?</w:t>
      </w:r>
    </w:p>
    <w:p w14:paraId="2CA53897" w14:textId="77777777" w:rsidR="006823D6" w:rsidRPr="004F564F" w:rsidRDefault="006823D6" w:rsidP="006823D6">
      <w:pPr>
        <w:spacing w:after="0"/>
        <w:rPr>
          <w:sz w:val="20"/>
          <w:lang w:val="pl-PL"/>
        </w:rPr>
      </w:pPr>
    </w:p>
    <w:p w14:paraId="5978D384" w14:textId="77777777" w:rsidR="006823D6" w:rsidRPr="004F564F" w:rsidRDefault="006823D6" w:rsidP="006823D6">
      <w:pPr>
        <w:spacing w:after="0"/>
        <w:rPr>
          <w:sz w:val="20"/>
          <w:lang w:val="pl-PL"/>
        </w:rPr>
      </w:pPr>
      <w:r w:rsidRPr="004F564F">
        <w:rPr>
          <w:sz w:val="20"/>
          <w:lang w:val="pl-PL"/>
        </w:rPr>
        <w:t>Pozytywne zmiany środowiskowe można osiągnąć jedynie poprzez wspólne działania we wszystkich branżach na całym świecie. Ludzie mają różną motywację w podejmowaniu decyzji biznesowych, ale wszystkie firmy dążą do większych zysków, dlatego tak ważne jest edukowanie społeczeństwa, że ​​zrównoważony rozwój nie oznacza rezygnacji z zysków w perspektywie długoterminowej.</w:t>
      </w:r>
    </w:p>
    <w:p w14:paraId="0B5766EB" w14:textId="77777777" w:rsidR="006823D6" w:rsidRPr="004F564F" w:rsidRDefault="006823D6" w:rsidP="006823D6">
      <w:pPr>
        <w:spacing w:after="0"/>
        <w:rPr>
          <w:sz w:val="20"/>
          <w:lang w:val="pl-PL"/>
        </w:rPr>
      </w:pPr>
    </w:p>
    <w:p w14:paraId="3313F16E" w14:textId="77777777" w:rsidR="006823D6" w:rsidRPr="004F564F" w:rsidRDefault="006823D6" w:rsidP="006823D6">
      <w:pPr>
        <w:spacing w:after="0"/>
        <w:rPr>
          <w:sz w:val="20"/>
          <w:lang w:val="pl-PL"/>
        </w:rPr>
      </w:pPr>
      <w:r w:rsidRPr="004F564F">
        <w:rPr>
          <w:sz w:val="20"/>
          <w:lang w:val="pl-PL"/>
        </w:rPr>
        <w:t>Osadzanie zrównoważonego rozwoju w strategii i praktyce firmy poprawia:</w:t>
      </w:r>
      <w:r w:rsidRPr="004F564F">
        <w:rPr>
          <w:rStyle w:val="Odwoanieprzypisudolnego"/>
          <w:sz w:val="20"/>
          <w:lang w:val="pl-PL"/>
        </w:rPr>
        <w:t xml:space="preserve"> </w:t>
      </w:r>
      <w:r w:rsidRPr="004F564F">
        <w:rPr>
          <w:rStyle w:val="Odwoanieprzypisudolnego"/>
          <w:sz w:val="20"/>
        </w:rPr>
        <w:footnoteReference w:id="16"/>
      </w:r>
    </w:p>
    <w:p w14:paraId="1F21DB4F" w14:textId="77777777" w:rsidR="006823D6" w:rsidRPr="004F564F" w:rsidRDefault="006823D6" w:rsidP="006823D6">
      <w:pPr>
        <w:spacing w:after="0"/>
        <w:rPr>
          <w:sz w:val="20"/>
          <w:lang w:val="pl-PL"/>
        </w:rPr>
      </w:pPr>
    </w:p>
    <w:p w14:paraId="70E73113" w14:textId="77777777" w:rsidR="006823D6" w:rsidRPr="004F564F" w:rsidRDefault="006823D6" w:rsidP="006823D6">
      <w:pPr>
        <w:spacing w:after="0"/>
        <w:rPr>
          <w:sz w:val="20"/>
          <w:lang w:val="pl-PL"/>
        </w:rPr>
      </w:pPr>
      <w:r w:rsidRPr="004F564F">
        <w:rPr>
          <w:sz w:val="20"/>
          <w:lang w:val="pl-PL"/>
        </w:rPr>
        <w:t>•Lojalność klientów</w:t>
      </w:r>
    </w:p>
    <w:p w14:paraId="70529BC3" w14:textId="77777777" w:rsidR="006823D6" w:rsidRPr="004F564F" w:rsidRDefault="006823D6" w:rsidP="006823D6">
      <w:pPr>
        <w:spacing w:after="0"/>
        <w:rPr>
          <w:sz w:val="20"/>
          <w:lang w:val="pl-PL"/>
        </w:rPr>
      </w:pPr>
      <w:r w:rsidRPr="004F564F">
        <w:rPr>
          <w:sz w:val="20"/>
          <w:lang w:val="pl-PL"/>
        </w:rPr>
        <w:t>•Relacje między pracownikami</w:t>
      </w:r>
    </w:p>
    <w:p w14:paraId="2C2E7D67" w14:textId="77777777" w:rsidR="006823D6" w:rsidRPr="004F564F" w:rsidRDefault="006823D6" w:rsidP="006823D6">
      <w:pPr>
        <w:spacing w:after="0"/>
        <w:rPr>
          <w:sz w:val="20"/>
          <w:lang w:val="pl-PL"/>
        </w:rPr>
      </w:pPr>
      <w:r w:rsidRPr="004F564F">
        <w:rPr>
          <w:sz w:val="20"/>
          <w:lang w:val="pl-PL"/>
        </w:rPr>
        <w:t>• Innowacje</w:t>
      </w:r>
    </w:p>
    <w:p w14:paraId="0E8DB21C" w14:textId="77777777" w:rsidR="006823D6" w:rsidRPr="004F564F" w:rsidRDefault="006823D6" w:rsidP="006823D6">
      <w:pPr>
        <w:spacing w:after="0"/>
        <w:rPr>
          <w:sz w:val="20"/>
          <w:lang w:val="pl-PL"/>
        </w:rPr>
      </w:pPr>
      <w:r w:rsidRPr="004F564F">
        <w:rPr>
          <w:sz w:val="20"/>
          <w:lang w:val="pl-PL"/>
        </w:rPr>
        <w:t>• Zasięg mediów</w:t>
      </w:r>
    </w:p>
    <w:p w14:paraId="6CF69FE8" w14:textId="77777777" w:rsidR="006823D6" w:rsidRPr="004F564F" w:rsidRDefault="006823D6" w:rsidP="006823D6">
      <w:pPr>
        <w:spacing w:after="0"/>
        <w:rPr>
          <w:sz w:val="20"/>
          <w:lang w:val="pl-PL"/>
        </w:rPr>
      </w:pPr>
      <w:r w:rsidRPr="004F564F">
        <w:rPr>
          <w:sz w:val="20"/>
          <w:lang w:val="pl-PL"/>
        </w:rPr>
        <w:lastRenderedPageBreak/>
        <w:t>•Efektywność operacyjna</w:t>
      </w:r>
    </w:p>
    <w:p w14:paraId="4C6168EA" w14:textId="77777777" w:rsidR="006823D6" w:rsidRPr="004F564F" w:rsidRDefault="006823D6" w:rsidP="006823D6">
      <w:pPr>
        <w:spacing w:after="0"/>
        <w:rPr>
          <w:sz w:val="20"/>
          <w:lang w:val="pl-PL"/>
        </w:rPr>
      </w:pPr>
      <w:r w:rsidRPr="004F564F">
        <w:rPr>
          <w:sz w:val="20"/>
          <w:lang w:val="pl-PL"/>
        </w:rPr>
        <w:t>•Zarządzanie ryzykiem</w:t>
      </w:r>
    </w:p>
    <w:p w14:paraId="5002A68F" w14:textId="77777777" w:rsidR="006823D6" w:rsidRPr="004F564F" w:rsidRDefault="006823D6" w:rsidP="006823D6">
      <w:pPr>
        <w:spacing w:after="0"/>
        <w:rPr>
          <w:sz w:val="20"/>
          <w:lang w:val="pl-PL"/>
        </w:rPr>
      </w:pPr>
      <w:r w:rsidRPr="004F564F">
        <w:rPr>
          <w:sz w:val="20"/>
          <w:lang w:val="pl-PL"/>
        </w:rPr>
        <w:t>•Sprzedaż i Marketing</w:t>
      </w:r>
    </w:p>
    <w:p w14:paraId="10BC95B7" w14:textId="77777777" w:rsidR="006823D6" w:rsidRPr="004F564F" w:rsidRDefault="006823D6" w:rsidP="006823D6">
      <w:pPr>
        <w:spacing w:after="0"/>
        <w:rPr>
          <w:sz w:val="20"/>
          <w:lang w:val="pl-PL"/>
        </w:rPr>
      </w:pPr>
      <w:r w:rsidRPr="004F564F">
        <w:rPr>
          <w:sz w:val="20"/>
          <w:lang w:val="pl-PL"/>
        </w:rPr>
        <w:t>• Relacje z dostawcami</w:t>
      </w:r>
    </w:p>
    <w:p w14:paraId="2DC8582F" w14:textId="77777777" w:rsidR="0027235F" w:rsidRPr="004F564F" w:rsidRDefault="006823D6" w:rsidP="006823D6">
      <w:pPr>
        <w:spacing w:after="0"/>
        <w:rPr>
          <w:sz w:val="20"/>
          <w:lang w:val="pl-PL"/>
        </w:rPr>
      </w:pPr>
      <w:r w:rsidRPr="004F564F">
        <w:rPr>
          <w:sz w:val="20"/>
          <w:lang w:val="pl-PL"/>
        </w:rPr>
        <w:t>• Zaangażowanie interesariuszy</w:t>
      </w:r>
      <w:r w:rsidR="00835849" w:rsidRPr="004F564F">
        <w:rPr>
          <w:sz w:val="20"/>
          <w:lang w:val="pl-PL"/>
        </w:rPr>
        <w:br w:type="page"/>
      </w:r>
      <w:r w:rsidR="0027235F" w:rsidRPr="004F564F">
        <w:rPr>
          <w:sz w:val="20"/>
          <w:lang w:val="pl-PL"/>
        </w:rPr>
        <w:lastRenderedPageBreak/>
        <w:t xml:space="preserve"> </w:t>
      </w:r>
    </w:p>
    <w:p w14:paraId="79EBE095" w14:textId="77777777" w:rsidR="006823D6" w:rsidRPr="004F564F" w:rsidRDefault="006823D6" w:rsidP="006823D6">
      <w:pPr>
        <w:spacing w:after="0"/>
        <w:jc w:val="both"/>
        <w:rPr>
          <w:sz w:val="18"/>
          <w:lang w:val="pl-PL"/>
        </w:rPr>
      </w:pPr>
    </w:p>
    <w:p w14:paraId="6913A857" w14:textId="77777777" w:rsidR="006823D6" w:rsidRPr="004F564F" w:rsidRDefault="006823D6" w:rsidP="006823D6">
      <w:pPr>
        <w:spacing w:after="0"/>
        <w:jc w:val="both"/>
        <w:rPr>
          <w:sz w:val="18"/>
          <w:lang w:val="pl-PL"/>
        </w:rPr>
      </w:pPr>
      <w:r w:rsidRPr="004F564F">
        <w:rPr>
          <w:sz w:val="18"/>
          <w:lang w:val="pl-PL"/>
        </w:rPr>
        <w:t>SLAJD 5</w:t>
      </w:r>
    </w:p>
    <w:p w14:paraId="322E0752" w14:textId="77777777" w:rsidR="006823D6" w:rsidRPr="004F564F" w:rsidRDefault="006823D6" w:rsidP="006823D6">
      <w:pPr>
        <w:spacing w:after="0"/>
        <w:jc w:val="both"/>
        <w:rPr>
          <w:sz w:val="18"/>
          <w:lang w:val="pl-PL"/>
        </w:rPr>
      </w:pPr>
    </w:p>
    <w:p w14:paraId="2ADB95FA" w14:textId="77777777" w:rsidR="00322F84" w:rsidRPr="004F564F" w:rsidRDefault="00322F84" w:rsidP="006823D6">
      <w:pPr>
        <w:spacing w:after="0"/>
        <w:jc w:val="both"/>
        <w:rPr>
          <w:sz w:val="18"/>
          <w:lang w:val="pl-PL"/>
        </w:rPr>
      </w:pPr>
      <w:r w:rsidRPr="004F564F">
        <w:rPr>
          <w:sz w:val="18"/>
          <w:lang w:val="pl-PL"/>
        </w:rPr>
        <w:t>ESG – skrót oznaczający czynniki, w oparciu o które tworzone są ratingi i oceny pozafinansowe przedsiębiorstw, państw i innych organizacji.</w:t>
      </w:r>
    </w:p>
    <w:p w14:paraId="451572B5" w14:textId="77777777" w:rsidR="00322F84" w:rsidRPr="004F564F" w:rsidRDefault="00322F84" w:rsidP="006823D6">
      <w:pPr>
        <w:spacing w:after="0"/>
        <w:jc w:val="both"/>
        <w:rPr>
          <w:sz w:val="18"/>
          <w:lang w:val="pl-PL"/>
        </w:rPr>
      </w:pPr>
    </w:p>
    <w:p w14:paraId="62DE7041" w14:textId="77777777" w:rsidR="0027235F" w:rsidRPr="004F564F" w:rsidRDefault="006823D6" w:rsidP="006823D6">
      <w:pPr>
        <w:spacing w:after="0"/>
        <w:jc w:val="both"/>
        <w:rPr>
          <w:sz w:val="18"/>
          <w:lang w:val="pl-PL"/>
        </w:rPr>
      </w:pPr>
      <w:r w:rsidRPr="004F564F">
        <w:rPr>
          <w:sz w:val="18"/>
          <w:lang w:val="pl-PL"/>
        </w:rPr>
        <w:t>Kryteria ESG dla zrównoważonych inwestorów</w:t>
      </w:r>
    </w:p>
    <w:p w14:paraId="0A855A0A" w14:textId="77777777" w:rsidR="001B2D48" w:rsidRPr="004F564F" w:rsidRDefault="001B2D48" w:rsidP="00903586">
      <w:pPr>
        <w:spacing w:after="0"/>
        <w:rPr>
          <w:sz w:val="20"/>
          <w:lang w:val="pl-PL"/>
        </w:rPr>
      </w:pPr>
    </w:p>
    <w:tbl>
      <w:tblPr>
        <w:tblStyle w:val="Tabelalisty4akcent5"/>
        <w:tblW w:w="0" w:type="auto"/>
        <w:tblLook w:val="04A0" w:firstRow="1" w:lastRow="0" w:firstColumn="1" w:lastColumn="0" w:noHBand="0" w:noVBand="1"/>
      </w:tblPr>
      <w:tblGrid>
        <w:gridCol w:w="3005"/>
        <w:gridCol w:w="3005"/>
        <w:gridCol w:w="3006"/>
      </w:tblGrid>
      <w:tr w:rsidR="001B2D48" w:rsidRPr="004F564F" w14:paraId="4B33F3E9" w14:textId="77777777" w:rsidTr="001B2D4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5" w:type="dxa"/>
          </w:tcPr>
          <w:p w14:paraId="38DBDEBE" w14:textId="77777777" w:rsidR="001B2D48" w:rsidRPr="004F564F" w:rsidRDefault="00322F84" w:rsidP="00903586">
            <w:pPr>
              <w:rPr>
                <w:sz w:val="20"/>
              </w:rPr>
            </w:pPr>
            <w:r w:rsidRPr="004F564F">
              <w:rPr>
                <w:sz w:val="20"/>
              </w:rPr>
              <w:t>Środowisko</w:t>
            </w:r>
          </w:p>
        </w:tc>
        <w:tc>
          <w:tcPr>
            <w:tcW w:w="3005" w:type="dxa"/>
          </w:tcPr>
          <w:p w14:paraId="65FCDFD6" w14:textId="77777777" w:rsidR="001B2D48" w:rsidRPr="004F564F" w:rsidRDefault="00322F84" w:rsidP="00903586">
            <w:pPr>
              <w:cnfStyle w:val="100000000000" w:firstRow="1" w:lastRow="0" w:firstColumn="0" w:lastColumn="0" w:oddVBand="0" w:evenVBand="0" w:oddHBand="0" w:evenHBand="0" w:firstRowFirstColumn="0" w:firstRowLastColumn="0" w:lastRowFirstColumn="0" w:lastRowLastColumn="0"/>
              <w:rPr>
                <w:sz w:val="20"/>
              </w:rPr>
            </w:pPr>
            <w:r w:rsidRPr="004F564F">
              <w:rPr>
                <w:sz w:val="20"/>
              </w:rPr>
              <w:t>Społeczna odpowiedzialność</w:t>
            </w:r>
          </w:p>
        </w:tc>
        <w:tc>
          <w:tcPr>
            <w:tcW w:w="3006" w:type="dxa"/>
          </w:tcPr>
          <w:p w14:paraId="3123F327" w14:textId="77777777" w:rsidR="001B2D48" w:rsidRPr="004F564F" w:rsidRDefault="00322F84" w:rsidP="00903586">
            <w:pPr>
              <w:cnfStyle w:val="100000000000" w:firstRow="1" w:lastRow="0" w:firstColumn="0" w:lastColumn="0" w:oddVBand="0" w:evenVBand="0" w:oddHBand="0" w:evenHBand="0" w:firstRowFirstColumn="0" w:firstRowLastColumn="0" w:lastRowFirstColumn="0" w:lastRowLastColumn="0"/>
              <w:rPr>
                <w:sz w:val="20"/>
              </w:rPr>
            </w:pPr>
            <w:r w:rsidRPr="004F564F">
              <w:rPr>
                <w:sz w:val="20"/>
              </w:rPr>
              <w:t>Ład korporacyjny</w:t>
            </w:r>
          </w:p>
        </w:tc>
      </w:tr>
      <w:tr w:rsidR="001B2D48" w:rsidRPr="004F564F" w14:paraId="2D892E38" w14:textId="77777777" w:rsidTr="001B2D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5" w:type="dxa"/>
            <w:vAlign w:val="center"/>
          </w:tcPr>
          <w:p w14:paraId="23211C32" w14:textId="77777777" w:rsidR="001B2D48" w:rsidRPr="004F564F" w:rsidRDefault="002776FB" w:rsidP="001B2D48">
            <w:pPr>
              <w:rPr>
                <w:b w:val="0"/>
                <w:sz w:val="20"/>
              </w:rPr>
            </w:pPr>
            <w:r w:rsidRPr="004F564F">
              <w:rPr>
                <w:b w:val="0"/>
                <w:sz w:val="20"/>
              </w:rPr>
              <w:t>Wpływ na klimat</w:t>
            </w:r>
          </w:p>
        </w:tc>
        <w:tc>
          <w:tcPr>
            <w:tcW w:w="3005" w:type="dxa"/>
            <w:vAlign w:val="center"/>
          </w:tcPr>
          <w:p w14:paraId="484368E1" w14:textId="77777777" w:rsidR="001B2D48" w:rsidRPr="004F564F" w:rsidRDefault="002776FB" w:rsidP="001B2D48">
            <w:pPr>
              <w:cnfStyle w:val="000000100000" w:firstRow="0" w:lastRow="0" w:firstColumn="0" w:lastColumn="0" w:oddVBand="0" w:evenVBand="0" w:oddHBand="1" w:evenHBand="0" w:firstRowFirstColumn="0" w:firstRowLastColumn="0" w:lastRowFirstColumn="0" w:lastRowLastColumn="0"/>
              <w:rPr>
                <w:sz w:val="20"/>
              </w:rPr>
            </w:pPr>
            <w:r w:rsidRPr="004F564F">
              <w:rPr>
                <w:sz w:val="20"/>
              </w:rPr>
              <w:t>Prawa człowieka</w:t>
            </w:r>
          </w:p>
        </w:tc>
        <w:tc>
          <w:tcPr>
            <w:tcW w:w="3006" w:type="dxa"/>
            <w:vAlign w:val="center"/>
          </w:tcPr>
          <w:p w14:paraId="5D1B5ADA" w14:textId="77777777" w:rsidR="002776FB" w:rsidRPr="004F564F" w:rsidRDefault="002776FB" w:rsidP="002776FB">
            <w:pPr>
              <w:cnfStyle w:val="000000100000" w:firstRow="0" w:lastRow="0" w:firstColumn="0" w:lastColumn="0" w:oddVBand="0" w:evenVBand="0" w:oddHBand="1" w:evenHBand="0" w:firstRowFirstColumn="0" w:firstRowLastColumn="0" w:lastRowFirstColumn="0" w:lastRowLastColumn="0"/>
              <w:rPr>
                <w:sz w:val="20"/>
              </w:rPr>
            </w:pPr>
          </w:p>
          <w:p w14:paraId="7D79323C" w14:textId="77777777" w:rsidR="001B2D48" w:rsidRPr="004F564F" w:rsidRDefault="002776FB" w:rsidP="002776FB">
            <w:pPr>
              <w:cnfStyle w:val="000000100000" w:firstRow="0" w:lastRow="0" w:firstColumn="0" w:lastColumn="0" w:oddVBand="0" w:evenVBand="0" w:oddHBand="1" w:evenHBand="0" w:firstRowFirstColumn="0" w:firstRowLastColumn="0" w:lastRowFirstColumn="0" w:lastRowLastColumn="0"/>
              <w:rPr>
                <w:sz w:val="20"/>
                <w:lang w:val="pl-PL"/>
              </w:rPr>
            </w:pPr>
            <w:r w:rsidRPr="004F564F">
              <w:rPr>
                <w:sz w:val="20"/>
                <w:lang w:val="pl-PL"/>
              </w:rPr>
              <w:t>Zgodność interesów między osobami zarządzającymi a akcjonariuszami</w:t>
            </w:r>
          </w:p>
        </w:tc>
      </w:tr>
      <w:tr w:rsidR="001B2D48" w:rsidRPr="004F564F" w14:paraId="292481BC" w14:textId="77777777" w:rsidTr="001B2D48">
        <w:tc>
          <w:tcPr>
            <w:cnfStyle w:val="001000000000" w:firstRow="0" w:lastRow="0" w:firstColumn="1" w:lastColumn="0" w:oddVBand="0" w:evenVBand="0" w:oddHBand="0" w:evenHBand="0" w:firstRowFirstColumn="0" w:firstRowLastColumn="0" w:lastRowFirstColumn="0" w:lastRowLastColumn="0"/>
            <w:tcW w:w="3005" w:type="dxa"/>
            <w:vAlign w:val="center"/>
          </w:tcPr>
          <w:p w14:paraId="02BEEF17" w14:textId="77777777" w:rsidR="001B2D48" w:rsidRPr="004F564F" w:rsidRDefault="002776FB" w:rsidP="001B2D48">
            <w:pPr>
              <w:rPr>
                <w:b w:val="0"/>
                <w:sz w:val="20"/>
              </w:rPr>
            </w:pPr>
            <w:r w:rsidRPr="004F564F">
              <w:rPr>
                <w:b w:val="0"/>
                <w:sz w:val="20"/>
              </w:rPr>
              <w:t>Zrównoważony rozwój</w:t>
            </w:r>
          </w:p>
        </w:tc>
        <w:tc>
          <w:tcPr>
            <w:tcW w:w="3005" w:type="dxa"/>
            <w:vAlign w:val="center"/>
          </w:tcPr>
          <w:p w14:paraId="71E7098A" w14:textId="77777777" w:rsidR="001B2D48" w:rsidRPr="004F564F" w:rsidRDefault="002776FB" w:rsidP="001B2D48">
            <w:pPr>
              <w:cnfStyle w:val="000000000000" w:firstRow="0" w:lastRow="0" w:firstColumn="0" w:lastColumn="0" w:oddVBand="0" w:evenVBand="0" w:oddHBand="0" w:evenHBand="0" w:firstRowFirstColumn="0" w:firstRowLastColumn="0" w:lastRowFirstColumn="0" w:lastRowLastColumn="0"/>
              <w:rPr>
                <w:sz w:val="20"/>
              </w:rPr>
            </w:pPr>
            <w:r w:rsidRPr="004F564F">
              <w:rPr>
                <w:sz w:val="20"/>
              </w:rPr>
              <w:t>Wpływ na społeczeństwo</w:t>
            </w:r>
          </w:p>
        </w:tc>
        <w:tc>
          <w:tcPr>
            <w:tcW w:w="3006" w:type="dxa"/>
            <w:vAlign w:val="center"/>
          </w:tcPr>
          <w:p w14:paraId="4765D837" w14:textId="77777777" w:rsidR="001B2D48" w:rsidRPr="004F564F" w:rsidRDefault="002776FB" w:rsidP="001B2D48">
            <w:pPr>
              <w:cnfStyle w:val="000000000000" w:firstRow="0" w:lastRow="0" w:firstColumn="0" w:lastColumn="0" w:oddVBand="0" w:evenVBand="0" w:oddHBand="0" w:evenHBand="0" w:firstRowFirstColumn="0" w:firstRowLastColumn="0" w:lastRowFirstColumn="0" w:lastRowLastColumn="0"/>
              <w:rPr>
                <w:sz w:val="20"/>
              </w:rPr>
            </w:pPr>
            <w:r w:rsidRPr="004F564F">
              <w:rPr>
                <w:sz w:val="20"/>
              </w:rPr>
              <w:t>Wynagrodzenie kierownictwa</w:t>
            </w:r>
          </w:p>
        </w:tc>
      </w:tr>
      <w:tr w:rsidR="001B2D48" w:rsidRPr="004F564F" w14:paraId="222FEDA5" w14:textId="77777777" w:rsidTr="001B2D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5" w:type="dxa"/>
            <w:vAlign w:val="center"/>
          </w:tcPr>
          <w:p w14:paraId="7891D545" w14:textId="77777777" w:rsidR="001B2D48" w:rsidRPr="004F564F" w:rsidRDefault="002776FB" w:rsidP="001B2D48">
            <w:pPr>
              <w:rPr>
                <w:b w:val="0"/>
                <w:sz w:val="20"/>
              </w:rPr>
            </w:pPr>
            <w:r w:rsidRPr="004F564F">
              <w:rPr>
                <w:b w:val="0"/>
                <w:sz w:val="20"/>
              </w:rPr>
              <w:t>Efektywność energetyczna</w:t>
            </w:r>
          </w:p>
        </w:tc>
        <w:tc>
          <w:tcPr>
            <w:tcW w:w="3005" w:type="dxa"/>
            <w:vAlign w:val="center"/>
          </w:tcPr>
          <w:p w14:paraId="0DAFBF51" w14:textId="77777777" w:rsidR="001B2D48" w:rsidRPr="004F564F" w:rsidRDefault="002776FB" w:rsidP="001B2D48">
            <w:pPr>
              <w:cnfStyle w:val="000000100000" w:firstRow="0" w:lastRow="0" w:firstColumn="0" w:lastColumn="0" w:oddVBand="0" w:evenVBand="0" w:oddHBand="1" w:evenHBand="0" w:firstRowFirstColumn="0" w:firstRowLastColumn="0" w:lastRowFirstColumn="0" w:lastRowLastColumn="0"/>
              <w:rPr>
                <w:sz w:val="20"/>
              </w:rPr>
            </w:pPr>
            <w:r w:rsidRPr="004F564F">
              <w:rPr>
                <w:sz w:val="20"/>
              </w:rPr>
              <w:t>Szacunek dla ludności rdzennej</w:t>
            </w:r>
          </w:p>
        </w:tc>
        <w:tc>
          <w:tcPr>
            <w:tcW w:w="3006" w:type="dxa"/>
            <w:vAlign w:val="center"/>
          </w:tcPr>
          <w:p w14:paraId="2A4B34A8" w14:textId="77777777" w:rsidR="001B2D48" w:rsidRPr="004F564F" w:rsidRDefault="002776FB" w:rsidP="001B2D48">
            <w:pPr>
              <w:cnfStyle w:val="000000100000" w:firstRow="0" w:lastRow="0" w:firstColumn="0" w:lastColumn="0" w:oddVBand="0" w:evenVBand="0" w:oddHBand="1" w:evenHBand="0" w:firstRowFirstColumn="0" w:firstRowLastColumn="0" w:lastRowFirstColumn="0" w:lastRowLastColumn="0"/>
              <w:rPr>
                <w:sz w:val="20"/>
              </w:rPr>
            </w:pPr>
            <w:r w:rsidRPr="004F564F">
              <w:rPr>
                <w:sz w:val="20"/>
              </w:rPr>
              <w:t>Niezależność i skład zarządu</w:t>
            </w:r>
          </w:p>
        </w:tc>
      </w:tr>
      <w:tr w:rsidR="001B2D48" w:rsidRPr="004F564F" w14:paraId="7991E868" w14:textId="77777777" w:rsidTr="001B2D48">
        <w:tc>
          <w:tcPr>
            <w:cnfStyle w:val="001000000000" w:firstRow="0" w:lastRow="0" w:firstColumn="1" w:lastColumn="0" w:oddVBand="0" w:evenVBand="0" w:oddHBand="0" w:evenHBand="0" w:firstRowFirstColumn="0" w:firstRowLastColumn="0" w:lastRowFirstColumn="0" w:lastRowLastColumn="0"/>
            <w:tcW w:w="3005" w:type="dxa"/>
            <w:vAlign w:val="center"/>
          </w:tcPr>
          <w:p w14:paraId="23BC99E7" w14:textId="77777777" w:rsidR="001B2D48" w:rsidRPr="004F564F" w:rsidRDefault="002776FB" w:rsidP="001B2D48">
            <w:pPr>
              <w:rPr>
                <w:b w:val="0"/>
                <w:sz w:val="20"/>
              </w:rPr>
            </w:pPr>
            <w:r w:rsidRPr="004F564F">
              <w:rPr>
                <w:b w:val="0"/>
                <w:sz w:val="20"/>
              </w:rPr>
              <w:t>Zanieczyszczenie wody i powietrza</w:t>
            </w:r>
          </w:p>
        </w:tc>
        <w:tc>
          <w:tcPr>
            <w:tcW w:w="3005" w:type="dxa"/>
            <w:vAlign w:val="center"/>
          </w:tcPr>
          <w:p w14:paraId="1568E6EC" w14:textId="77777777" w:rsidR="001B2D48" w:rsidRPr="004F564F" w:rsidRDefault="002776FB" w:rsidP="001B2D48">
            <w:pPr>
              <w:cnfStyle w:val="000000000000" w:firstRow="0" w:lastRow="0" w:firstColumn="0" w:lastColumn="0" w:oddVBand="0" w:evenVBand="0" w:oddHBand="0" w:evenHBand="0" w:firstRowFirstColumn="0" w:firstRowLastColumn="0" w:lastRowFirstColumn="0" w:lastRowLastColumn="0"/>
              <w:rPr>
                <w:sz w:val="20"/>
              </w:rPr>
            </w:pPr>
            <w:r w:rsidRPr="004F564F">
              <w:rPr>
                <w:sz w:val="20"/>
              </w:rPr>
              <w:t>Relacje między pracownikami</w:t>
            </w:r>
          </w:p>
        </w:tc>
        <w:tc>
          <w:tcPr>
            <w:tcW w:w="3006" w:type="dxa"/>
            <w:vAlign w:val="center"/>
          </w:tcPr>
          <w:p w14:paraId="746FA175" w14:textId="77777777" w:rsidR="001B2D48" w:rsidRPr="004F564F" w:rsidRDefault="00322F84" w:rsidP="001B2D48">
            <w:pPr>
              <w:cnfStyle w:val="000000000000" w:firstRow="0" w:lastRow="0" w:firstColumn="0" w:lastColumn="0" w:oddVBand="0" w:evenVBand="0" w:oddHBand="0" w:evenHBand="0" w:firstRowFirstColumn="0" w:firstRowLastColumn="0" w:lastRowFirstColumn="0" w:lastRowLastColumn="0"/>
              <w:rPr>
                <w:sz w:val="20"/>
              </w:rPr>
            </w:pPr>
            <w:r w:rsidRPr="004F564F">
              <w:rPr>
                <w:sz w:val="20"/>
              </w:rPr>
              <w:t>Prawa akcjonariuszy</w:t>
            </w:r>
          </w:p>
        </w:tc>
      </w:tr>
      <w:tr w:rsidR="001B2D48" w:rsidRPr="004F564F" w14:paraId="78972306" w14:textId="77777777" w:rsidTr="001B2D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5" w:type="dxa"/>
            <w:vAlign w:val="center"/>
          </w:tcPr>
          <w:p w14:paraId="6D8DD4FD" w14:textId="77777777" w:rsidR="001B2D48" w:rsidRPr="004F564F" w:rsidRDefault="002776FB" w:rsidP="001B2D48">
            <w:pPr>
              <w:rPr>
                <w:b w:val="0"/>
                <w:sz w:val="20"/>
                <w:lang w:val="pl-PL"/>
              </w:rPr>
            </w:pPr>
            <w:r w:rsidRPr="004F564F">
              <w:rPr>
                <w:b w:val="0"/>
                <w:sz w:val="20"/>
                <w:lang w:val="pl-PL"/>
              </w:rPr>
              <w:t>Niedobór wody i gospodarka odpadami</w:t>
            </w:r>
          </w:p>
        </w:tc>
        <w:tc>
          <w:tcPr>
            <w:tcW w:w="3005" w:type="dxa"/>
            <w:vAlign w:val="center"/>
          </w:tcPr>
          <w:p w14:paraId="7530EDCF" w14:textId="77777777" w:rsidR="001B2D48" w:rsidRPr="004F564F" w:rsidRDefault="002776FB" w:rsidP="001B2D48">
            <w:pPr>
              <w:cnfStyle w:val="000000100000" w:firstRow="0" w:lastRow="0" w:firstColumn="0" w:lastColumn="0" w:oddVBand="0" w:evenVBand="0" w:oddHBand="1" w:evenHBand="0" w:firstRowFirstColumn="0" w:firstRowLastColumn="0" w:lastRowFirstColumn="0" w:lastRowLastColumn="0"/>
              <w:rPr>
                <w:sz w:val="20"/>
              </w:rPr>
            </w:pPr>
            <w:r w:rsidRPr="004F564F">
              <w:rPr>
                <w:sz w:val="20"/>
              </w:rPr>
              <w:t>Warunki pracy</w:t>
            </w:r>
          </w:p>
        </w:tc>
        <w:tc>
          <w:tcPr>
            <w:tcW w:w="3006" w:type="dxa"/>
            <w:vAlign w:val="center"/>
          </w:tcPr>
          <w:p w14:paraId="712020CC" w14:textId="77777777" w:rsidR="001B2D48" w:rsidRPr="004F564F" w:rsidRDefault="00322F84" w:rsidP="001B2D48">
            <w:pPr>
              <w:cnfStyle w:val="000000100000" w:firstRow="0" w:lastRow="0" w:firstColumn="0" w:lastColumn="0" w:oddVBand="0" w:evenVBand="0" w:oddHBand="1" w:evenHBand="0" w:firstRowFirstColumn="0" w:firstRowLastColumn="0" w:lastRowFirstColumn="0" w:lastRowLastColumn="0"/>
              <w:rPr>
                <w:sz w:val="20"/>
              </w:rPr>
            </w:pPr>
            <w:r w:rsidRPr="004F564F">
              <w:rPr>
                <w:sz w:val="20"/>
              </w:rPr>
              <w:t>Przejrzystość i ujawnianie informacji</w:t>
            </w:r>
          </w:p>
        </w:tc>
      </w:tr>
      <w:tr w:rsidR="001B2D48" w:rsidRPr="004F564F" w14:paraId="0469ACD5" w14:textId="77777777" w:rsidTr="001B2D48">
        <w:tc>
          <w:tcPr>
            <w:cnfStyle w:val="001000000000" w:firstRow="0" w:lastRow="0" w:firstColumn="1" w:lastColumn="0" w:oddVBand="0" w:evenVBand="0" w:oddHBand="0" w:evenHBand="0" w:firstRowFirstColumn="0" w:firstRowLastColumn="0" w:lastRowFirstColumn="0" w:lastRowLastColumn="0"/>
            <w:tcW w:w="3005" w:type="dxa"/>
            <w:vAlign w:val="center"/>
          </w:tcPr>
          <w:p w14:paraId="59279331" w14:textId="77777777" w:rsidR="001B2D48" w:rsidRPr="004F564F" w:rsidRDefault="001B2D48" w:rsidP="001B2D48">
            <w:pPr>
              <w:rPr>
                <w:b w:val="0"/>
                <w:sz w:val="20"/>
              </w:rPr>
            </w:pPr>
          </w:p>
        </w:tc>
        <w:tc>
          <w:tcPr>
            <w:tcW w:w="3005" w:type="dxa"/>
            <w:vAlign w:val="center"/>
          </w:tcPr>
          <w:p w14:paraId="5E469BEF" w14:textId="77777777" w:rsidR="001B2D48" w:rsidRPr="004F564F" w:rsidRDefault="002776FB" w:rsidP="001B2D48">
            <w:pPr>
              <w:cnfStyle w:val="000000000000" w:firstRow="0" w:lastRow="0" w:firstColumn="0" w:lastColumn="0" w:oddVBand="0" w:evenVBand="0" w:oddHBand="0" w:evenHBand="0" w:firstRowFirstColumn="0" w:firstRowLastColumn="0" w:lastRowFirstColumn="0" w:lastRowLastColumn="0"/>
              <w:rPr>
                <w:sz w:val="20"/>
                <w:lang w:val="pl-PL"/>
              </w:rPr>
            </w:pPr>
            <w:r w:rsidRPr="004F564F">
              <w:rPr>
                <w:sz w:val="20"/>
                <w:lang w:val="pl-PL"/>
              </w:rPr>
              <w:t>Praca dzieci i praca przymusowa</w:t>
            </w:r>
          </w:p>
        </w:tc>
        <w:tc>
          <w:tcPr>
            <w:tcW w:w="3006" w:type="dxa"/>
            <w:vAlign w:val="center"/>
          </w:tcPr>
          <w:p w14:paraId="55D9178F" w14:textId="77777777" w:rsidR="001B2D48" w:rsidRPr="004F564F" w:rsidRDefault="001B2D48" w:rsidP="001B2D48">
            <w:pPr>
              <w:cnfStyle w:val="000000000000" w:firstRow="0" w:lastRow="0" w:firstColumn="0" w:lastColumn="0" w:oddVBand="0" w:evenVBand="0" w:oddHBand="0" w:evenHBand="0" w:firstRowFirstColumn="0" w:firstRowLastColumn="0" w:lastRowFirstColumn="0" w:lastRowLastColumn="0"/>
              <w:rPr>
                <w:sz w:val="20"/>
                <w:lang w:val="pl-PL"/>
              </w:rPr>
            </w:pPr>
          </w:p>
        </w:tc>
      </w:tr>
      <w:tr w:rsidR="001B2D48" w:rsidRPr="004F564F" w14:paraId="6182370E" w14:textId="77777777" w:rsidTr="001B2D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5" w:type="dxa"/>
            <w:vAlign w:val="center"/>
          </w:tcPr>
          <w:p w14:paraId="65181FB9" w14:textId="77777777" w:rsidR="001B2D48" w:rsidRPr="004F564F" w:rsidRDefault="002776FB" w:rsidP="001B2D48">
            <w:pPr>
              <w:rPr>
                <w:b w:val="0"/>
                <w:sz w:val="20"/>
                <w:lang w:val="pl-PL"/>
              </w:rPr>
            </w:pPr>
            <w:r w:rsidRPr="004F564F">
              <w:rPr>
                <w:b w:val="0"/>
                <w:sz w:val="20"/>
                <w:lang w:val="pl-PL"/>
              </w:rPr>
              <w:t>Różnorodność biologiczna i ochrona siedlisk</w:t>
            </w:r>
          </w:p>
        </w:tc>
        <w:tc>
          <w:tcPr>
            <w:tcW w:w="3005" w:type="dxa"/>
            <w:vAlign w:val="center"/>
          </w:tcPr>
          <w:p w14:paraId="6985ECD2" w14:textId="77777777" w:rsidR="001B2D48" w:rsidRPr="004F564F" w:rsidRDefault="002776FB" w:rsidP="001B2D48">
            <w:pPr>
              <w:cnfStyle w:val="000000100000" w:firstRow="0" w:lastRow="0" w:firstColumn="0" w:lastColumn="0" w:oddVBand="0" w:evenVBand="0" w:oddHBand="1" w:evenHBand="0" w:firstRowFirstColumn="0" w:firstRowLastColumn="0" w:lastRowFirstColumn="0" w:lastRowLastColumn="0"/>
              <w:rPr>
                <w:sz w:val="20"/>
              </w:rPr>
            </w:pPr>
            <w:r w:rsidRPr="004F564F">
              <w:rPr>
                <w:sz w:val="20"/>
              </w:rPr>
              <w:t>Zdrowie i bezpieczeństwo</w:t>
            </w:r>
          </w:p>
        </w:tc>
        <w:tc>
          <w:tcPr>
            <w:tcW w:w="3006" w:type="dxa"/>
            <w:vAlign w:val="center"/>
          </w:tcPr>
          <w:p w14:paraId="51DB34B7" w14:textId="77777777" w:rsidR="001B2D48" w:rsidRPr="004F564F" w:rsidRDefault="00322F84" w:rsidP="001B2D48">
            <w:pPr>
              <w:cnfStyle w:val="000000100000" w:firstRow="0" w:lastRow="0" w:firstColumn="0" w:lastColumn="0" w:oddVBand="0" w:evenVBand="0" w:oddHBand="1" w:evenHBand="0" w:firstRowFirstColumn="0" w:firstRowLastColumn="0" w:lastRowFirstColumn="0" w:lastRowLastColumn="0"/>
              <w:rPr>
                <w:sz w:val="20"/>
              </w:rPr>
            </w:pPr>
            <w:r w:rsidRPr="004F564F">
              <w:rPr>
                <w:sz w:val="20"/>
              </w:rPr>
              <w:t>Środki antykorupcyjne</w:t>
            </w:r>
          </w:p>
        </w:tc>
      </w:tr>
    </w:tbl>
    <w:p w14:paraId="5B870779" w14:textId="77777777" w:rsidR="00903586" w:rsidRPr="004F564F" w:rsidRDefault="001B2D48" w:rsidP="00903586">
      <w:pPr>
        <w:spacing w:after="0"/>
        <w:rPr>
          <w:sz w:val="20"/>
        </w:rPr>
      </w:pPr>
      <w:r w:rsidRPr="004F564F">
        <w:rPr>
          <w:noProof/>
          <w:lang w:eastAsia="en-GB"/>
        </w:rPr>
        <mc:AlternateContent>
          <mc:Choice Requires="wps">
            <w:drawing>
              <wp:anchor distT="0" distB="0" distL="114300" distR="114300" simplePos="0" relativeHeight="251728896" behindDoc="0" locked="0" layoutInCell="1" allowOverlap="1" wp14:anchorId="15390723" wp14:editId="47D39731">
                <wp:simplePos x="0" y="0"/>
                <wp:positionH relativeFrom="column">
                  <wp:posOffset>0</wp:posOffset>
                </wp:positionH>
                <wp:positionV relativeFrom="paragraph">
                  <wp:posOffset>58348</wp:posOffset>
                </wp:positionV>
                <wp:extent cx="4927600" cy="635"/>
                <wp:effectExtent l="0" t="0" r="6350" b="0"/>
                <wp:wrapThrough wrapText="bothSides">
                  <wp:wrapPolygon edited="0">
                    <wp:start x="0" y="0"/>
                    <wp:lineTo x="0" y="19851"/>
                    <wp:lineTo x="21544" y="19851"/>
                    <wp:lineTo x="21544" y="0"/>
                    <wp:lineTo x="0" y="0"/>
                  </wp:wrapPolygon>
                </wp:wrapThrough>
                <wp:docPr id="60" name="Text Box 60"/>
                <wp:cNvGraphicFramePr/>
                <a:graphic xmlns:a="http://schemas.openxmlformats.org/drawingml/2006/main">
                  <a:graphicData uri="http://schemas.microsoft.com/office/word/2010/wordprocessingShape">
                    <wps:wsp>
                      <wps:cNvSpPr txBox="1"/>
                      <wps:spPr>
                        <a:xfrm>
                          <a:off x="0" y="0"/>
                          <a:ext cx="4927600" cy="635"/>
                        </a:xfrm>
                        <a:prstGeom prst="rect">
                          <a:avLst/>
                        </a:prstGeom>
                        <a:solidFill>
                          <a:prstClr val="white"/>
                        </a:solidFill>
                        <a:ln>
                          <a:noFill/>
                        </a:ln>
                      </wps:spPr>
                      <wps:txbx>
                        <w:txbxContent>
                          <w:p w14:paraId="5FF9F227" w14:textId="77777777" w:rsidR="00903586" w:rsidRPr="00903586" w:rsidRDefault="00903586" w:rsidP="00903586">
                            <w:pPr>
                              <w:pStyle w:val="Legenda"/>
                              <w:spacing w:after="0"/>
                            </w:pPr>
                            <w:r w:rsidRPr="00903586">
                              <w:t xml:space="preserve">Figure </w:t>
                            </w:r>
                            <w:r w:rsidR="001B2D48">
                              <w:t>15</w:t>
                            </w:r>
                            <w:r w:rsidRPr="00903586">
                              <w:t>. Examples of ESG criteria used by Sustainable Investors</w:t>
                            </w:r>
                          </w:p>
                          <w:p w14:paraId="12CBB543" w14:textId="77777777" w:rsidR="00903586" w:rsidRPr="00903586" w:rsidRDefault="00903586" w:rsidP="00903586">
                            <w:pPr>
                              <w:spacing w:after="0"/>
                              <w:rPr>
                                <w:sz w:val="18"/>
                                <w:szCs w:val="18"/>
                              </w:rPr>
                            </w:pPr>
                            <w:r w:rsidRPr="00903586">
                              <w:rPr>
                                <w:i/>
                                <w:iCs/>
                                <w:color w:val="44546A" w:themeColor="text2"/>
                                <w:sz w:val="18"/>
                                <w:szCs w:val="18"/>
                              </w:rPr>
                              <w:t>Source:</w:t>
                            </w:r>
                            <w:r w:rsidRPr="00903586">
                              <w:rPr>
                                <w:sz w:val="18"/>
                                <w:szCs w:val="18"/>
                              </w:rPr>
                              <w:t xml:space="preserve"> </w:t>
                            </w:r>
                            <w:hyperlink r:id="rId43" w:history="1">
                              <w:r w:rsidRPr="00903586">
                                <w:rPr>
                                  <w:rStyle w:val="Hipercze"/>
                                  <w:sz w:val="18"/>
                                  <w:szCs w:val="18"/>
                                </w:rPr>
                                <w:t>https://www.ussif.org/sribasics</w:t>
                              </w:r>
                            </w:hyperlink>
                            <w:r w:rsidRPr="00903586">
                              <w:rPr>
                                <w:sz w:val="18"/>
                                <w:szCs w:val="18"/>
                              </w:rPr>
                              <w:t xml:space="preserve"> </w:t>
                            </w:r>
                            <w:r w:rsidRPr="00903586">
                              <w:rPr>
                                <w:i/>
                                <w:iCs/>
                                <w:color w:val="44546A" w:themeColor="text2"/>
                                <w:sz w:val="18"/>
                                <w:szCs w:val="18"/>
                              </w:rPr>
                              <w:t>(05.11.2019)</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15390723" id="Text Box 60" o:spid="_x0000_s1039" type="#_x0000_t202" style="position:absolute;margin-left:0;margin-top:4.6pt;width:388pt;height:.05pt;z-index:2517288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" stroked="f">
                <v:textbox style="mso-fit-shape-to-text:t" inset="0,0,0,0">
                  <w:txbxContent>
                    <w:p w14:paraId="5FF9F227" w14:textId="77777777" w:rsidR="00903586" w:rsidRPr="00903586" w:rsidRDefault="00903586" w:rsidP="00903586">
                      <w:pPr>
                        <w:pStyle w:val="Legenda"/>
                        <w:spacing w:after="0"/>
                      </w:pPr>
                      <w:r w:rsidRPr="00903586">
                        <w:t xml:space="preserve">Figure </w:t>
                      </w:r>
                      <w:r w:rsidR="001B2D48">
                        <w:t>15</w:t>
                      </w:r>
                      <w:r w:rsidRPr="00903586">
                        <w:t>. Examples of ESG criteria used by Sustainable Investors</w:t>
                      </w:r>
                    </w:p>
                    <w:p w14:paraId="12CBB543" w14:textId="77777777" w:rsidR="00903586" w:rsidRPr="00903586" w:rsidRDefault="00903586" w:rsidP="00903586">
                      <w:pPr>
                        <w:spacing w:after="0"/>
                        <w:rPr>
                          <w:sz w:val="18"/>
                          <w:szCs w:val="18"/>
                        </w:rPr>
                      </w:pPr>
                      <w:r w:rsidRPr="00903586">
                        <w:rPr>
                          <w:i/>
                          <w:iCs/>
                          <w:color w:val="44546A" w:themeColor="text2"/>
                          <w:sz w:val="18"/>
                          <w:szCs w:val="18"/>
                        </w:rPr>
                        <w:t>Source:</w:t>
                      </w:r>
                      <w:r w:rsidRPr="00903586">
                        <w:rPr>
                          <w:sz w:val="18"/>
                          <w:szCs w:val="18"/>
                        </w:rPr>
                        <w:t xml:space="preserve"> </w:t>
                      </w:r>
                      <w:hyperlink r:id="rId44" w:history="1">
                        <w:r w:rsidRPr="00903586">
                          <w:rPr>
                            <w:rStyle w:val="Hipercze"/>
                            <w:sz w:val="18"/>
                            <w:szCs w:val="18"/>
                          </w:rPr>
                          <w:t>https://www.ussif.org/sribasics</w:t>
                        </w:r>
                      </w:hyperlink>
                      <w:r w:rsidRPr="00903586">
                        <w:rPr>
                          <w:sz w:val="18"/>
                          <w:szCs w:val="18"/>
                        </w:rPr>
                        <w:t xml:space="preserve"> </w:t>
                      </w:r>
                      <w:r w:rsidRPr="00903586">
                        <w:rPr>
                          <w:i/>
                          <w:iCs/>
                          <w:color w:val="44546A" w:themeColor="text2"/>
                          <w:sz w:val="18"/>
                          <w:szCs w:val="18"/>
                        </w:rPr>
                        <w:t>(05.11.2019)</w:t>
                      </w:r>
                    </w:p>
                  </w:txbxContent>
                </v:textbox>
                <w10:wrap type="through"/>
              </v:shape>
            </w:pict>
          </mc:Fallback>
        </mc:AlternateContent>
      </w:r>
    </w:p>
    <w:p w14:paraId="6636A2AB" w14:textId="77777777" w:rsidR="001B2D48" w:rsidRPr="004F564F" w:rsidRDefault="001B2D48" w:rsidP="005A4583">
      <w:pPr>
        <w:spacing w:after="0"/>
        <w:rPr>
          <w:sz w:val="20"/>
        </w:rPr>
      </w:pPr>
    </w:p>
    <w:p w14:paraId="590B61AC" w14:textId="77777777" w:rsidR="0085180E" w:rsidRPr="004F564F" w:rsidRDefault="001B2D48" w:rsidP="001B2D48">
      <w:pPr>
        <w:rPr>
          <w:sz w:val="20"/>
        </w:rPr>
      </w:pPr>
      <w:r w:rsidRPr="004F564F">
        <w:rPr>
          <w:sz w:val="20"/>
        </w:rPr>
        <w:br w:type="page"/>
      </w:r>
    </w:p>
    <w:p w14:paraId="24AEDE60" w14:textId="77777777" w:rsidR="00DD2C33" w:rsidRPr="004F564F" w:rsidRDefault="00DD2C33" w:rsidP="00E42F88">
      <w:pPr>
        <w:pStyle w:val="Akapitzlist"/>
        <w:spacing w:after="240"/>
        <w:ind w:left="0"/>
        <w:jc w:val="both"/>
        <w:rPr>
          <w:sz w:val="20"/>
          <w:lang w:val="pl-PL"/>
        </w:rPr>
      </w:pPr>
      <w:r w:rsidRPr="004F564F">
        <w:rPr>
          <w:sz w:val="20"/>
        </w:rPr>
        <w:lastRenderedPageBreak/>
        <w:t>L</w:t>
      </w:r>
      <w:r w:rsidR="00BF2EE0" w:rsidRPr="004F564F">
        <w:rPr>
          <w:sz w:val="20"/>
        </w:rPr>
        <w:t>O</w:t>
      </w:r>
      <w:r w:rsidR="00F81A87" w:rsidRPr="004F564F">
        <w:rPr>
          <w:sz w:val="20"/>
        </w:rPr>
        <w:t xml:space="preserve">4 </w:t>
      </w:r>
      <w:r w:rsidR="008C4C21" w:rsidRPr="004F564F">
        <w:rPr>
          <w:sz w:val="20"/>
          <w:lang w:val="pl-PL"/>
        </w:rPr>
        <w:t>Ekologiczne podejście w biznesie</w:t>
      </w:r>
    </w:p>
    <w:p w14:paraId="6395C903" w14:textId="77777777" w:rsidR="008C4C21" w:rsidRPr="004F564F" w:rsidRDefault="008C4C21" w:rsidP="008C4C21">
      <w:pPr>
        <w:spacing w:after="240"/>
        <w:jc w:val="both"/>
        <w:rPr>
          <w:sz w:val="20"/>
          <w:lang w:val="pl-PL"/>
        </w:rPr>
      </w:pPr>
      <w:r w:rsidRPr="004F564F">
        <w:rPr>
          <w:sz w:val="20"/>
          <w:lang w:val="pl-PL"/>
        </w:rPr>
        <w:t>SLAJD 1</w:t>
      </w:r>
    </w:p>
    <w:p w14:paraId="044D6484" w14:textId="77777777" w:rsidR="008C4C21" w:rsidRPr="004F564F" w:rsidRDefault="008C4C21" w:rsidP="008C4C21">
      <w:pPr>
        <w:spacing w:after="240"/>
        <w:jc w:val="both"/>
        <w:rPr>
          <w:sz w:val="20"/>
          <w:lang w:val="pl-PL"/>
        </w:rPr>
      </w:pPr>
      <w:r w:rsidRPr="004F564F">
        <w:rPr>
          <w:sz w:val="20"/>
          <w:lang w:val="pl-PL"/>
        </w:rPr>
        <w:t>Rosnący ruch konsumentów zorientowanych na środowisko</w:t>
      </w:r>
    </w:p>
    <w:p w14:paraId="2815C910" w14:textId="77777777" w:rsidR="008C4C21" w:rsidRPr="004F564F" w:rsidRDefault="008C4C21" w:rsidP="008C4C21">
      <w:pPr>
        <w:spacing w:after="240"/>
        <w:jc w:val="both"/>
        <w:rPr>
          <w:sz w:val="20"/>
          <w:lang w:val="pl-PL"/>
        </w:rPr>
      </w:pPr>
      <w:r w:rsidRPr="004F564F">
        <w:rPr>
          <w:sz w:val="20"/>
          <w:lang w:val="pl-PL"/>
        </w:rPr>
        <w:t>Czasy, w których cena była głównym czynnikiem przy podejmowaniu decyzji przez konsumentów, minęły. W dzisiejszych czasach firmy muszą skupiać się nie tylko na samym produkcie, ale także na ogólnym wpływie, jaki wywiera on na środowisko i społeczeństwo. Rosnące trendy, takie jak „zero odpadów”, stwarzają szanse dla nowych marek i powinny być brane pod uwagę przez decydentów w strategii produkcji i dystrybucji. Według raportu Morgana Stanleya (2019) 85% inwestorów indywidualnych było zainteresowanych zrównoważonym rozwojem, a aż 95% w grupie Millennialsów.</w:t>
      </w:r>
      <w:r w:rsidRPr="004F564F">
        <w:rPr>
          <w:rStyle w:val="Odwoanieprzypisudolnego"/>
          <w:sz w:val="20"/>
          <w:lang w:val="pl-PL"/>
        </w:rPr>
        <w:t xml:space="preserve"> </w:t>
      </w:r>
      <w:r w:rsidRPr="004F564F">
        <w:rPr>
          <w:rStyle w:val="Odwoanieprzypisudolnego"/>
          <w:sz w:val="20"/>
        </w:rPr>
        <w:footnoteReference w:id="17"/>
      </w:r>
      <w:r w:rsidRPr="004F564F">
        <w:rPr>
          <w:sz w:val="20"/>
          <w:lang w:val="pl-PL"/>
        </w:rPr>
        <w:t xml:space="preserve"> Chociaż konsumenci twierdzą, że chcą inwestować w zrównoważone firmy, to zgodnie z najnowszymi badaniami rzadko to robią.</w:t>
      </w:r>
      <w:r w:rsidRPr="004F564F">
        <w:rPr>
          <w:rStyle w:val="Odwoanieprzypisudolnego"/>
          <w:sz w:val="20"/>
        </w:rPr>
        <w:t xml:space="preserve"> </w:t>
      </w:r>
      <w:r w:rsidRPr="004F564F">
        <w:rPr>
          <w:rStyle w:val="Odwoanieprzypisudolnego"/>
          <w:sz w:val="20"/>
        </w:rPr>
        <w:footnoteReference w:id="18"/>
      </w:r>
    </w:p>
    <w:p w14:paraId="66CF2BA0" w14:textId="77777777" w:rsidR="008C4C21" w:rsidRPr="004F564F" w:rsidRDefault="008C4C21" w:rsidP="008C4C21">
      <w:pPr>
        <w:pStyle w:val="Akapitzlist"/>
        <w:spacing w:after="240"/>
        <w:ind w:left="0"/>
        <w:jc w:val="both"/>
        <w:rPr>
          <w:sz w:val="20"/>
          <w:lang w:val="pl-PL"/>
        </w:rPr>
      </w:pPr>
      <w:r w:rsidRPr="004F564F">
        <w:rPr>
          <w:sz w:val="20"/>
          <w:lang w:val="pl-PL"/>
        </w:rPr>
        <w:t>W tym samym badaniu autorzy dzielą się działaniami, które firmy powinny rozważyć, aby przekonać większą liczbę konsumentów do zrównoważonej konsumpcji:</w:t>
      </w:r>
    </w:p>
    <w:p w14:paraId="34C97789" w14:textId="77777777" w:rsidR="008C4C21" w:rsidRPr="004F564F" w:rsidRDefault="008C4C21" w:rsidP="008C4C21">
      <w:pPr>
        <w:pStyle w:val="Akapitzlist"/>
        <w:spacing w:after="240"/>
        <w:ind w:left="0"/>
        <w:jc w:val="both"/>
        <w:rPr>
          <w:sz w:val="20"/>
          <w:lang w:val="pl-PL"/>
        </w:rPr>
      </w:pPr>
    </w:p>
    <w:p w14:paraId="2FFB9784" w14:textId="77777777" w:rsidR="008C4C21" w:rsidRPr="004F564F" w:rsidRDefault="008C4C21" w:rsidP="008C4C21">
      <w:pPr>
        <w:spacing w:after="240"/>
        <w:jc w:val="both"/>
        <w:rPr>
          <w:sz w:val="20"/>
          <w:lang w:val="pl-PL"/>
        </w:rPr>
      </w:pPr>
      <w:r w:rsidRPr="004F564F">
        <w:rPr>
          <w:sz w:val="20"/>
          <w:lang w:val="pl-PL"/>
        </w:rPr>
        <w:t>1) Wykorzystuj wpływy społeczne</w:t>
      </w:r>
    </w:p>
    <w:p w14:paraId="61F06723" w14:textId="77777777" w:rsidR="008C4C21" w:rsidRPr="004F564F" w:rsidRDefault="008C4C21" w:rsidP="008C4C21">
      <w:pPr>
        <w:spacing w:after="240"/>
        <w:jc w:val="both"/>
        <w:rPr>
          <w:sz w:val="20"/>
          <w:lang w:val="pl-PL"/>
        </w:rPr>
      </w:pPr>
      <w:r w:rsidRPr="004F564F">
        <w:rPr>
          <w:sz w:val="20"/>
          <w:lang w:val="pl-PL"/>
        </w:rPr>
        <w:t>2) Kształtuj dobre nawyki</w:t>
      </w:r>
    </w:p>
    <w:p w14:paraId="5EB18ECB" w14:textId="77777777" w:rsidR="008C4C21" w:rsidRPr="004F564F" w:rsidRDefault="008C4C21" w:rsidP="008C4C21">
      <w:pPr>
        <w:spacing w:after="240"/>
        <w:jc w:val="both"/>
        <w:rPr>
          <w:sz w:val="20"/>
          <w:lang w:val="pl-PL"/>
        </w:rPr>
      </w:pPr>
      <w:r w:rsidRPr="004F564F">
        <w:rPr>
          <w:sz w:val="20"/>
          <w:lang w:val="pl-PL"/>
        </w:rPr>
        <w:t>3) Wykorzystaj efekt domina</w:t>
      </w:r>
    </w:p>
    <w:p w14:paraId="5CBFDCDC" w14:textId="77777777" w:rsidR="008C4C21" w:rsidRPr="004F564F" w:rsidRDefault="008C4C21" w:rsidP="008C4C21">
      <w:pPr>
        <w:spacing w:after="240"/>
        <w:jc w:val="both"/>
        <w:rPr>
          <w:sz w:val="20"/>
          <w:lang w:val="pl-PL"/>
        </w:rPr>
      </w:pPr>
      <w:r w:rsidRPr="004F564F">
        <w:rPr>
          <w:sz w:val="20"/>
          <w:lang w:val="pl-PL"/>
        </w:rPr>
        <w:t>4) Zdecyduj, czy rozmawiać z sercem czy mózgiem</w:t>
      </w:r>
    </w:p>
    <w:p w14:paraId="4788B8F7" w14:textId="77777777" w:rsidR="008C4C21" w:rsidRPr="004F564F" w:rsidRDefault="008C4C21" w:rsidP="008C4C21">
      <w:pPr>
        <w:pStyle w:val="Akapitzlist"/>
        <w:spacing w:after="240"/>
        <w:ind w:left="0"/>
        <w:jc w:val="both"/>
        <w:rPr>
          <w:sz w:val="20"/>
          <w:lang w:val="pl-PL"/>
        </w:rPr>
      </w:pPr>
      <w:r w:rsidRPr="004F564F">
        <w:rPr>
          <w:sz w:val="20"/>
          <w:lang w:val="pl-PL"/>
        </w:rPr>
        <w:t>5) Preferuj doświadczenie zamiast własności</w:t>
      </w:r>
    </w:p>
    <w:p w14:paraId="632CBBC9" w14:textId="77777777" w:rsidR="00F80F53" w:rsidRPr="004F564F" w:rsidRDefault="008C4C21" w:rsidP="00F80F53">
      <w:pPr>
        <w:spacing w:after="240"/>
        <w:jc w:val="both"/>
        <w:rPr>
          <w:sz w:val="20"/>
        </w:rPr>
      </w:pPr>
      <w:r w:rsidRPr="004F564F">
        <w:rPr>
          <w:noProof/>
          <w:lang w:eastAsia="en-GB"/>
        </w:rPr>
        <w:drawing>
          <wp:anchor distT="0" distB="0" distL="114300" distR="114300" simplePos="0" relativeHeight="251796480" behindDoc="0" locked="0" layoutInCell="1" allowOverlap="1" wp14:anchorId="1B5C0599" wp14:editId="344F8D68">
            <wp:simplePos x="0" y="0"/>
            <wp:positionH relativeFrom="margin">
              <wp:align>left</wp:align>
            </wp:positionH>
            <wp:positionV relativeFrom="paragraph">
              <wp:posOffset>28382</wp:posOffset>
            </wp:positionV>
            <wp:extent cx="4481465" cy="2652665"/>
            <wp:effectExtent l="0" t="0" r="0" b="0"/>
            <wp:wrapNone/>
            <wp:docPr id="4" name="Chart 4">
              <a:extLst xmlns:a="http://schemas.openxmlformats.org/drawingml/2006/main">
                <a:ext uri="{FF2B5EF4-FFF2-40B4-BE49-F238E27FC236}">
                  <a16:creationId xmlns:a16="http://schemas.microsoft.com/office/drawing/2014/main" id="{8A69718B-0109-42C5-9CFF-7CA9AD0596F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5"/>
              </a:graphicData>
            </a:graphic>
            <wp14:sizeRelH relativeFrom="margin">
              <wp14:pctWidth>0</wp14:pctWidth>
            </wp14:sizeRelH>
            <wp14:sizeRelV relativeFrom="margin">
              <wp14:pctHeight>0</wp14:pctHeight>
            </wp14:sizeRelV>
          </wp:anchor>
        </w:drawing>
      </w:r>
    </w:p>
    <w:p w14:paraId="462D08FA" w14:textId="77777777" w:rsidR="00F80F53" w:rsidRPr="004F564F" w:rsidRDefault="00F80F53" w:rsidP="00CB7F70">
      <w:pPr>
        <w:spacing w:after="0"/>
        <w:jc w:val="both"/>
        <w:rPr>
          <w:sz w:val="20"/>
        </w:rPr>
      </w:pPr>
    </w:p>
    <w:p w14:paraId="48BE3B6E" w14:textId="77777777" w:rsidR="00F80F53" w:rsidRPr="004F564F" w:rsidRDefault="00F80F53" w:rsidP="00CB7F70">
      <w:pPr>
        <w:spacing w:after="0"/>
        <w:jc w:val="both"/>
        <w:rPr>
          <w:sz w:val="20"/>
        </w:rPr>
      </w:pPr>
    </w:p>
    <w:p w14:paraId="44FAD848" w14:textId="77777777" w:rsidR="00F80F53" w:rsidRPr="004F564F" w:rsidRDefault="00F80F53" w:rsidP="00CB7F70">
      <w:pPr>
        <w:spacing w:after="0"/>
        <w:jc w:val="both"/>
        <w:rPr>
          <w:sz w:val="20"/>
        </w:rPr>
      </w:pPr>
    </w:p>
    <w:p w14:paraId="66481C85" w14:textId="77777777" w:rsidR="00F80F53" w:rsidRPr="004F564F" w:rsidRDefault="00F80F53" w:rsidP="00CB7F70">
      <w:pPr>
        <w:spacing w:after="0"/>
        <w:jc w:val="both"/>
        <w:rPr>
          <w:sz w:val="20"/>
        </w:rPr>
      </w:pPr>
    </w:p>
    <w:p w14:paraId="777AF666" w14:textId="77777777" w:rsidR="00F80F53" w:rsidRPr="004F564F" w:rsidRDefault="00F80F53" w:rsidP="00CB7F70">
      <w:pPr>
        <w:spacing w:after="0"/>
        <w:jc w:val="both"/>
        <w:rPr>
          <w:sz w:val="20"/>
        </w:rPr>
      </w:pPr>
    </w:p>
    <w:p w14:paraId="434BB053" w14:textId="77777777" w:rsidR="00F80F53" w:rsidRPr="004F564F" w:rsidRDefault="00F80F53" w:rsidP="00CB7F70">
      <w:pPr>
        <w:spacing w:after="0"/>
        <w:jc w:val="both"/>
        <w:rPr>
          <w:sz w:val="20"/>
        </w:rPr>
      </w:pPr>
    </w:p>
    <w:p w14:paraId="49B83100" w14:textId="77777777" w:rsidR="00F80F53" w:rsidRPr="004F564F" w:rsidRDefault="00F80F53" w:rsidP="00CB7F70">
      <w:pPr>
        <w:spacing w:after="0"/>
        <w:jc w:val="both"/>
        <w:rPr>
          <w:sz w:val="20"/>
        </w:rPr>
      </w:pPr>
    </w:p>
    <w:p w14:paraId="3A3CA677" w14:textId="77777777" w:rsidR="00F80F53" w:rsidRPr="004F564F" w:rsidRDefault="00F80F53" w:rsidP="00CB7F70">
      <w:pPr>
        <w:spacing w:after="0"/>
        <w:jc w:val="both"/>
        <w:rPr>
          <w:sz w:val="20"/>
        </w:rPr>
      </w:pPr>
    </w:p>
    <w:p w14:paraId="43CAF86D" w14:textId="77777777" w:rsidR="00F80F53" w:rsidRPr="004F564F" w:rsidRDefault="00F80F53" w:rsidP="00CB7F70">
      <w:pPr>
        <w:spacing w:after="0"/>
        <w:jc w:val="both"/>
        <w:rPr>
          <w:sz w:val="20"/>
        </w:rPr>
      </w:pPr>
    </w:p>
    <w:p w14:paraId="5CA9353A" w14:textId="77777777" w:rsidR="00F80F53" w:rsidRPr="004F564F" w:rsidRDefault="00F80F53" w:rsidP="00CB7F70">
      <w:pPr>
        <w:spacing w:after="0"/>
        <w:jc w:val="both"/>
        <w:rPr>
          <w:sz w:val="20"/>
        </w:rPr>
      </w:pPr>
    </w:p>
    <w:p w14:paraId="626BE4C9" w14:textId="77777777" w:rsidR="00F80F53" w:rsidRPr="004F564F" w:rsidRDefault="00F80F53" w:rsidP="00CB7F70">
      <w:pPr>
        <w:spacing w:after="0"/>
        <w:jc w:val="both"/>
        <w:rPr>
          <w:sz w:val="20"/>
        </w:rPr>
      </w:pPr>
    </w:p>
    <w:p w14:paraId="6034D061" w14:textId="77777777" w:rsidR="00F80F53" w:rsidRPr="004F564F" w:rsidRDefault="00F80F53" w:rsidP="00CB7F70">
      <w:pPr>
        <w:spacing w:after="0"/>
        <w:jc w:val="both"/>
        <w:rPr>
          <w:sz w:val="20"/>
        </w:rPr>
      </w:pPr>
    </w:p>
    <w:p w14:paraId="652AFF83" w14:textId="77777777" w:rsidR="00F80F53" w:rsidRPr="004F564F" w:rsidRDefault="00F80F53" w:rsidP="00CB7F70">
      <w:pPr>
        <w:spacing w:after="0"/>
        <w:jc w:val="both"/>
        <w:rPr>
          <w:sz w:val="20"/>
        </w:rPr>
      </w:pPr>
    </w:p>
    <w:p w14:paraId="3D994278" w14:textId="77777777" w:rsidR="00262262" w:rsidRPr="004F564F" w:rsidRDefault="00262262" w:rsidP="00CB7F70">
      <w:pPr>
        <w:spacing w:after="0"/>
        <w:jc w:val="both"/>
        <w:rPr>
          <w:sz w:val="20"/>
        </w:rPr>
      </w:pPr>
      <w:r w:rsidRPr="004F564F">
        <w:rPr>
          <w:noProof/>
          <w:sz w:val="20"/>
          <w:lang w:eastAsia="en-GB"/>
        </w:rPr>
        <mc:AlternateContent>
          <mc:Choice Requires="wps">
            <w:drawing>
              <wp:anchor distT="0" distB="0" distL="114300" distR="114300" simplePos="0" relativeHeight="251798528" behindDoc="0" locked="0" layoutInCell="1" allowOverlap="1" wp14:anchorId="6AF0ABEA" wp14:editId="2E0027BF">
                <wp:simplePos x="0" y="0"/>
                <wp:positionH relativeFrom="column">
                  <wp:posOffset>0</wp:posOffset>
                </wp:positionH>
                <wp:positionV relativeFrom="paragraph">
                  <wp:posOffset>74377</wp:posOffset>
                </wp:positionV>
                <wp:extent cx="4142740" cy="440690"/>
                <wp:effectExtent l="0" t="0" r="0" b="0"/>
                <wp:wrapNone/>
                <wp:docPr id="47" name="Text Box 47"/>
                <wp:cNvGraphicFramePr/>
                <a:graphic xmlns:a="http://schemas.openxmlformats.org/drawingml/2006/main">
                  <a:graphicData uri="http://schemas.microsoft.com/office/word/2010/wordprocessingShape">
                    <wps:wsp>
                      <wps:cNvSpPr txBox="1"/>
                      <wps:spPr>
                        <a:xfrm>
                          <a:off x="0" y="0"/>
                          <a:ext cx="4142740" cy="440690"/>
                        </a:xfrm>
                        <a:prstGeom prst="rect">
                          <a:avLst/>
                        </a:prstGeom>
                        <a:solidFill>
                          <a:prstClr val="white"/>
                        </a:solidFill>
                        <a:ln>
                          <a:noFill/>
                        </a:ln>
                      </wps:spPr>
                      <wps:txbx>
                        <w:txbxContent>
                          <w:p w14:paraId="040EE99A" w14:textId="77777777" w:rsidR="00262262" w:rsidRDefault="00262262" w:rsidP="00262262">
                            <w:pPr>
                              <w:pStyle w:val="Legenda"/>
                              <w:spacing w:after="0"/>
                            </w:pPr>
                            <w:r>
                              <w:t xml:space="preserve">Figure </w:t>
                            </w:r>
                            <w:r w:rsidR="00C82CE1">
                              <w:t>16</w:t>
                            </w:r>
                            <w:r>
                              <w:t>. Investor's sustainable interests themes</w:t>
                            </w:r>
                          </w:p>
                          <w:p w14:paraId="4B246BF9" w14:textId="77777777" w:rsidR="00262262" w:rsidRPr="00F80F53" w:rsidRDefault="00262262" w:rsidP="00262262">
                            <w:pPr>
                              <w:spacing w:after="0"/>
                            </w:pPr>
                            <w:r w:rsidRPr="00F80F53">
                              <w:rPr>
                                <w:i/>
                                <w:iCs/>
                                <w:color w:val="44546A" w:themeColor="text2"/>
                                <w:sz w:val="18"/>
                                <w:szCs w:val="18"/>
                              </w:rPr>
                              <w:t>Source:</w:t>
                            </w:r>
                            <w:r>
                              <w:t xml:space="preserve"> </w:t>
                            </w:r>
                            <w:hyperlink r:id="rId46" w:history="1">
                              <w:r w:rsidRPr="00F80F53">
                                <w:rPr>
                                  <w:rStyle w:val="Hipercze"/>
                                  <w:sz w:val="18"/>
                                </w:rPr>
                                <w:t>https://www.morganstanley.com/ideas/sustainable-investing-growing-interest-and-adoption</w:t>
                              </w:r>
                            </w:hyperlink>
                            <w:r w:rsidRPr="00F80F53">
                              <w:rPr>
                                <w:sz w:val="18"/>
                              </w:rPr>
                              <w:t xml:space="preserve"> </w:t>
                            </w:r>
                            <w:r w:rsidRPr="00F80F53">
                              <w:rPr>
                                <w:i/>
                                <w:iCs/>
                                <w:color w:val="44546A" w:themeColor="text2"/>
                                <w:sz w:val="18"/>
                                <w:szCs w:val="18"/>
                              </w:rPr>
                              <w:t>(05.11.2019)</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6AF0ABEA" id="Text Box 47" o:spid="_x0000_s1040" type="#_x0000_t202" style="position:absolute;left:0;text-align:left;margin-left:0;margin-top:5.85pt;width:326.2pt;height:34.7pt;z-index:251798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" stroked="f">
                <v:textbox style="mso-fit-shape-to-text:t" inset="0,0,0,0">
                  <w:txbxContent>
                    <w:p w14:paraId="040EE99A" w14:textId="77777777" w:rsidR="00262262" w:rsidRDefault="00262262" w:rsidP="00262262">
                      <w:pPr>
                        <w:pStyle w:val="Legenda"/>
                        <w:spacing w:after="0"/>
                      </w:pPr>
                      <w:r>
                        <w:t xml:space="preserve">Figure </w:t>
                      </w:r>
                      <w:r w:rsidR="00C82CE1">
                        <w:t>16</w:t>
                      </w:r>
                      <w:r>
                        <w:t>. Investor's sustainable interests themes</w:t>
                      </w:r>
                    </w:p>
                    <w:p w14:paraId="4B246BF9" w14:textId="77777777" w:rsidR="00262262" w:rsidRPr="00F80F53" w:rsidRDefault="00262262" w:rsidP="00262262">
                      <w:pPr>
                        <w:spacing w:after="0"/>
                      </w:pPr>
                      <w:r w:rsidRPr="00F80F53">
                        <w:rPr>
                          <w:i/>
                          <w:iCs/>
                          <w:color w:val="44546A" w:themeColor="text2"/>
                          <w:sz w:val="18"/>
                          <w:szCs w:val="18"/>
                        </w:rPr>
                        <w:t>Source:</w:t>
                      </w:r>
                      <w:r>
                        <w:t xml:space="preserve"> </w:t>
                      </w:r>
                      <w:hyperlink r:id="rId47" w:history="1">
                        <w:r w:rsidRPr="00F80F53">
                          <w:rPr>
                            <w:rStyle w:val="Hipercze"/>
                            <w:sz w:val="18"/>
                          </w:rPr>
                          <w:t>https://www.morganstanley.com/ideas/sustainable-investing-growing-interest-and-adoption</w:t>
                        </w:r>
                      </w:hyperlink>
                      <w:r w:rsidRPr="00F80F53">
                        <w:rPr>
                          <w:sz w:val="18"/>
                        </w:rPr>
                        <w:t xml:space="preserve"> </w:t>
                      </w:r>
                      <w:r w:rsidRPr="00F80F53">
                        <w:rPr>
                          <w:i/>
                          <w:iCs/>
                          <w:color w:val="44546A" w:themeColor="text2"/>
                          <w:sz w:val="18"/>
                          <w:szCs w:val="18"/>
                        </w:rPr>
                        <w:t>(05.11.2019)</w:t>
                      </w:r>
                    </w:p>
                  </w:txbxContent>
                </v:textbox>
              </v:shape>
            </w:pict>
          </mc:Fallback>
        </mc:AlternateContent>
      </w:r>
    </w:p>
    <w:p w14:paraId="3B97D56D" w14:textId="77777777" w:rsidR="00262262" w:rsidRPr="004F564F" w:rsidRDefault="00262262" w:rsidP="00CB7F70">
      <w:pPr>
        <w:spacing w:after="0"/>
        <w:jc w:val="both"/>
        <w:rPr>
          <w:sz w:val="20"/>
        </w:rPr>
      </w:pPr>
    </w:p>
    <w:p w14:paraId="4AE39CA6" w14:textId="77777777" w:rsidR="00262262" w:rsidRPr="004F564F" w:rsidRDefault="00262262" w:rsidP="00CB7F70">
      <w:pPr>
        <w:spacing w:after="0"/>
        <w:jc w:val="both"/>
        <w:rPr>
          <w:sz w:val="20"/>
        </w:rPr>
      </w:pPr>
    </w:p>
    <w:p w14:paraId="18FD7548" w14:textId="77777777" w:rsidR="00C82CE1" w:rsidRPr="004F564F" w:rsidRDefault="00C82CE1" w:rsidP="00CB7F70">
      <w:pPr>
        <w:spacing w:after="0"/>
        <w:jc w:val="both"/>
        <w:rPr>
          <w:sz w:val="20"/>
        </w:rPr>
      </w:pPr>
    </w:p>
    <w:p w14:paraId="7B5D9ED6" w14:textId="328FEF7B" w:rsidR="008C4C21" w:rsidRPr="004F564F" w:rsidRDefault="00C82CE1" w:rsidP="004F564F">
      <w:pPr>
        <w:rPr>
          <w:sz w:val="20"/>
          <w:lang w:val="pl-PL"/>
        </w:rPr>
      </w:pPr>
      <w:r w:rsidRPr="004F564F">
        <w:rPr>
          <w:sz w:val="20"/>
        </w:rPr>
        <w:br w:type="page"/>
      </w:r>
      <w:r w:rsidR="008C4C21" w:rsidRPr="004F564F">
        <w:rPr>
          <w:sz w:val="20"/>
          <w:lang w:val="pl-PL"/>
        </w:rPr>
        <w:lastRenderedPageBreak/>
        <w:t>SLAJD 2</w:t>
      </w:r>
    </w:p>
    <w:p w14:paraId="51A36B48" w14:textId="77777777" w:rsidR="008C4C21" w:rsidRPr="004F564F" w:rsidRDefault="008C4C21" w:rsidP="008C4C21">
      <w:pPr>
        <w:spacing w:after="0"/>
        <w:jc w:val="both"/>
        <w:rPr>
          <w:sz w:val="20"/>
          <w:lang w:val="pl-PL"/>
        </w:rPr>
      </w:pPr>
      <w:r w:rsidRPr="004F564F">
        <w:rPr>
          <w:sz w:val="20"/>
          <w:lang w:val="pl-PL"/>
        </w:rPr>
        <w:t>Wymagania ekonomiczne dla zrównoważonego rozwoju</w:t>
      </w:r>
    </w:p>
    <w:p w14:paraId="05578699" w14:textId="77777777" w:rsidR="008C4C21" w:rsidRPr="004F564F" w:rsidRDefault="008C4C21" w:rsidP="008C4C21">
      <w:pPr>
        <w:spacing w:after="0"/>
        <w:jc w:val="both"/>
        <w:rPr>
          <w:sz w:val="20"/>
          <w:lang w:val="pl-PL"/>
        </w:rPr>
      </w:pPr>
    </w:p>
    <w:p w14:paraId="09D33C1B" w14:textId="77777777" w:rsidR="008C4C21" w:rsidRPr="004F564F" w:rsidRDefault="008C4C21" w:rsidP="008C4C21">
      <w:pPr>
        <w:spacing w:after="0"/>
        <w:jc w:val="both"/>
        <w:rPr>
          <w:sz w:val="20"/>
          <w:lang w:val="pl-PL"/>
        </w:rPr>
      </w:pPr>
      <w:r w:rsidRPr="004F564F">
        <w:rPr>
          <w:sz w:val="20"/>
          <w:lang w:val="pl-PL"/>
        </w:rPr>
        <w:t>1. Gospodarka o obiegu zamkniętym - Poprawa wydajności zasobów i ograniczenie odpadów</w:t>
      </w:r>
    </w:p>
    <w:p w14:paraId="07B584D8" w14:textId="77777777" w:rsidR="008C4C21" w:rsidRPr="004F564F" w:rsidRDefault="008C4C21" w:rsidP="008C4C21">
      <w:pPr>
        <w:spacing w:after="0"/>
        <w:jc w:val="both"/>
        <w:rPr>
          <w:sz w:val="20"/>
          <w:lang w:val="pl-PL"/>
        </w:rPr>
      </w:pPr>
      <w:r w:rsidRPr="004F564F">
        <w:rPr>
          <w:sz w:val="20"/>
          <w:lang w:val="pl-PL"/>
        </w:rPr>
        <w:t>2. Woda - poprawa dostępu do wysokiej jakości zaopatrzenia w wodę i zachowania zasobów</w:t>
      </w:r>
    </w:p>
    <w:p w14:paraId="59B60C50" w14:textId="77777777" w:rsidR="008C4C21" w:rsidRPr="004F564F" w:rsidRDefault="008C4C21" w:rsidP="008C4C21">
      <w:pPr>
        <w:spacing w:after="0"/>
        <w:jc w:val="both"/>
        <w:rPr>
          <w:sz w:val="20"/>
          <w:lang w:val="pl-PL"/>
        </w:rPr>
      </w:pPr>
      <w:r w:rsidRPr="004F564F">
        <w:rPr>
          <w:sz w:val="20"/>
          <w:lang w:val="pl-PL"/>
        </w:rPr>
        <w:t>3. Bezpieczeństwo żywnościowe - zapewnienie zrównoważonych dostaw żywności i produktywnych gruntów rolnych dla przyszłych pokoleń</w:t>
      </w:r>
    </w:p>
    <w:p w14:paraId="38033B98" w14:textId="77777777" w:rsidR="008C4C21" w:rsidRPr="004F564F" w:rsidRDefault="008C4C21" w:rsidP="008C4C21">
      <w:pPr>
        <w:spacing w:after="0"/>
        <w:jc w:val="both"/>
        <w:rPr>
          <w:sz w:val="20"/>
          <w:lang w:val="pl-PL"/>
        </w:rPr>
      </w:pPr>
      <w:r w:rsidRPr="004F564F">
        <w:rPr>
          <w:sz w:val="20"/>
          <w:lang w:val="pl-PL"/>
        </w:rPr>
        <w:t>4. Zdrowie i dobre samopoczucie - poprawa oczekiwanej długości życia i jakości</w:t>
      </w:r>
    </w:p>
    <w:p w14:paraId="6F120A96" w14:textId="77777777" w:rsidR="008C4C21" w:rsidRPr="004F564F" w:rsidRDefault="008C4C21" w:rsidP="008C4C21">
      <w:pPr>
        <w:spacing w:after="0"/>
        <w:jc w:val="both"/>
        <w:rPr>
          <w:sz w:val="20"/>
          <w:lang w:val="pl-PL"/>
        </w:rPr>
      </w:pPr>
      <w:r w:rsidRPr="004F564F">
        <w:rPr>
          <w:sz w:val="20"/>
          <w:lang w:val="pl-PL"/>
        </w:rPr>
        <w:t>5. Edukacja - stwarzanie szans dla wszystkich - niezależnie od zamożności, położenia geograficznego lub umiejętności</w:t>
      </w:r>
    </w:p>
    <w:p w14:paraId="222D0A90" w14:textId="77777777" w:rsidR="008C4C21" w:rsidRPr="004F564F" w:rsidRDefault="008C4C21" w:rsidP="008C4C21">
      <w:pPr>
        <w:spacing w:after="0"/>
        <w:jc w:val="both"/>
        <w:rPr>
          <w:sz w:val="20"/>
          <w:lang w:val="pl-PL"/>
        </w:rPr>
      </w:pPr>
      <w:r w:rsidRPr="004F564F">
        <w:rPr>
          <w:sz w:val="20"/>
          <w:lang w:val="pl-PL"/>
        </w:rPr>
        <w:t>6. Integracja finansowa - świadczenie usług finansowych na rzecz ludności w trudnej sytuacji</w:t>
      </w:r>
    </w:p>
    <w:p w14:paraId="34FB09B5" w14:textId="77777777" w:rsidR="008C4C21" w:rsidRPr="004F564F" w:rsidRDefault="008C4C21" w:rsidP="008C4C21">
      <w:pPr>
        <w:spacing w:after="0"/>
        <w:jc w:val="both"/>
        <w:rPr>
          <w:sz w:val="20"/>
          <w:lang w:val="pl-PL"/>
        </w:rPr>
      </w:pPr>
      <w:r w:rsidRPr="004F564F">
        <w:rPr>
          <w:sz w:val="20"/>
          <w:lang w:val="pl-PL"/>
        </w:rPr>
        <w:t>7. Przyszła mobilność - poprawa wydajności pojazdów w celu zwiększenia transportu niskoemisyjnego</w:t>
      </w:r>
    </w:p>
    <w:p w14:paraId="1DB044F7" w14:textId="77777777" w:rsidR="008C4C21" w:rsidRPr="004F564F" w:rsidRDefault="008C4C21" w:rsidP="008C4C21">
      <w:pPr>
        <w:spacing w:after="0"/>
        <w:jc w:val="both"/>
        <w:rPr>
          <w:sz w:val="20"/>
          <w:lang w:val="pl-PL"/>
        </w:rPr>
      </w:pPr>
      <w:r w:rsidRPr="004F564F">
        <w:rPr>
          <w:sz w:val="20"/>
          <w:lang w:val="pl-PL"/>
        </w:rPr>
        <w:t xml:space="preserve">8. Środki wpływające </w:t>
      </w:r>
      <w:r w:rsidR="005C7E5A" w:rsidRPr="004F564F">
        <w:rPr>
          <w:sz w:val="20"/>
          <w:lang w:val="pl-PL"/>
        </w:rPr>
        <w:t>na zmiany</w:t>
      </w:r>
      <w:r w:rsidRPr="004F564F">
        <w:rPr>
          <w:sz w:val="20"/>
          <w:lang w:val="pl-PL"/>
        </w:rPr>
        <w:t xml:space="preserve"> - dostarczanie kluczowych rozwiązań i usług </w:t>
      </w:r>
      <w:r w:rsidR="005C7E5A" w:rsidRPr="004F564F">
        <w:rPr>
          <w:sz w:val="20"/>
          <w:lang w:val="pl-PL"/>
        </w:rPr>
        <w:t>firmom</w:t>
      </w:r>
      <w:r w:rsidRPr="004F564F">
        <w:rPr>
          <w:sz w:val="20"/>
          <w:lang w:val="pl-PL"/>
        </w:rPr>
        <w:t xml:space="preserve"> bezpośrednio zaangażowanym w różne tematy</w:t>
      </w:r>
    </w:p>
    <w:p w14:paraId="0E5273E7" w14:textId="77777777" w:rsidR="008C4C21" w:rsidRPr="004F564F" w:rsidRDefault="008C4C21" w:rsidP="008C4C21">
      <w:pPr>
        <w:spacing w:after="0"/>
        <w:jc w:val="both"/>
        <w:rPr>
          <w:sz w:val="20"/>
          <w:lang w:val="pl-PL"/>
        </w:rPr>
      </w:pPr>
      <w:r w:rsidRPr="004F564F">
        <w:rPr>
          <w:sz w:val="20"/>
          <w:lang w:val="pl-PL"/>
        </w:rPr>
        <w:t>9. Transformacja energetyczna - przekształcanie systemu energetycznego w celu napędzania gospodarki niskoemisyjnej</w:t>
      </w:r>
    </w:p>
    <w:p w14:paraId="0C3512ED" w14:textId="77777777" w:rsidR="008C4C21" w:rsidRPr="004F564F" w:rsidRDefault="008C4C21" w:rsidP="008C4C21">
      <w:pPr>
        <w:spacing w:after="0"/>
        <w:jc w:val="both"/>
        <w:rPr>
          <w:sz w:val="20"/>
          <w:lang w:val="pl-PL"/>
        </w:rPr>
      </w:pPr>
    </w:p>
    <w:p w14:paraId="6B23D5CD" w14:textId="77777777" w:rsidR="005C7E5A" w:rsidRPr="004F564F" w:rsidRDefault="005C7E5A" w:rsidP="005C7E5A">
      <w:pPr>
        <w:spacing w:after="0"/>
        <w:jc w:val="both"/>
        <w:rPr>
          <w:sz w:val="20"/>
          <w:lang w:val="pl-PL"/>
        </w:rPr>
      </w:pPr>
      <w:r w:rsidRPr="004F564F">
        <w:rPr>
          <w:sz w:val="20"/>
          <w:lang w:val="pl-PL"/>
        </w:rPr>
        <w:t>SLAJD 3</w:t>
      </w:r>
    </w:p>
    <w:p w14:paraId="58CE1328" w14:textId="77777777" w:rsidR="005C7E5A" w:rsidRPr="004F564F" w:rsidRDefault="005C7E5A" w:rsidP="005C7E5A">
      <w:pPr>
        <w:spacing w:after="0"/>
        <w:jc w:val="both"/>
        <w:rPr>
          <w:sz w:val="20"/>
          <w:lang w:val="pl-PL"/>
        </w:rPr>
      </w:pPr>
      <w:r w:rsidRPr="004F564F">
        <w:rPr>
          <w:sz w:val="20"/>
          <w:lang w:val="pl-PL"/>
        </w:rPr>
        <w:t>Wpływ działań CSR na wartość firmy</w:t>
      </w:r>
    </w:p>
    <w:p w14:paraId="74C1BEC5" w14:textId="77777777" w:rsidR="005C7E5A" w:rsidRPr="004F564F" w:rsidRDefault="005C7E5A" w:rsidP="005C7E5A">
      <w:pPr>
        <w:spacing w:after="0"/>
        <w:jc w:val="both"/>
        <w:rPr>
          <w:sz w:val="20"/>
          <w:lang w:val="pl-PL"/>
        </w:rPr>
      </w:pPr>
    </w:p>
    <w:p w14:paraId="47C07238" w14:textId="77777777" w:rsidR="005C7E5A" w:rsidRPr="004F564F" w:rsidRDefault="005C7E5A" w:rsidP="005C7E5A">
      <w:pPr>
        <w:spacing w:after="0"/>
        <w:jc w:val="both"/>
        <w:rPr>
          <w:sz w:val="20"/>
          <w:lang w:val="pl-PL"/>
        </w:rPr>
      </w:pPr>
      <w:r w:rsidRPr="004F564F">
        <w:rPr>
          <w:sz w:val="20"/>
          <w:lang w:val="pl-PL"/>
        </w:rPr>
        <w:t>Przez lata toczyła się debata, czy działania CSR (Corporate Social Responsibility) są marnotrawstwem pieniędzy firmy z ekonomicznego punktu widzenia, czy nie. Ostatnie badania (Barnett i Salomon, 2012) sugerują, że obie strony mogą być prawdziwe w pewnym zakresie. Autorzy twierdzą, że to, czy opłaca się być dobrym czy nie, zależy od tego, jak dobrze firmy są w stanie wykorzystać swoje wysiłki w zakresie odpowiedzialności społecznej.</w:t>
      </w:r>
    </w:p>
    <w:p w14:paraId="3CEAA27D" w14:textId="77777777" w:rsidR="005C7E5A" w:rsidRPr="004F564F" w:rsidRDefault="005C7E5A" w:rsidP="005C7E5A">
      <w:pPr>
        <w:spacing w:after="0"/>
        <w:jc w:val="both"/>
        <w:rPr>
          <w:sz w:val="20"/>
          <w:lang w:val="pl-PL"/>
        </w:rPr>
      </w:pPr>
      <w:r w:rsidRPr="004F564F">
        <w:rPr>
          <w:sz w:val="20"/>
          <w:lang w:val="pl-PL"/>
        </w:rPr>
        <w:t>W badaniu ponad 1,2 tys. firm autorzy odkryli, że ogólny wynik netto firmy w 13 kryteriach wydajności społecznej w bazie danych ocen Kinder, Lydenberg i Domini (KLD) wzrasta, ale jej zwrot z aktywów i dochód netto początkowo spadają , osiągając niski poziom przy umiarkowanych poziomach wyników społecznościowych, ale następnie rośnie.</w:t>
      </w:r>
    </w:p>
    <w:p w14:paraId="10686E94" w14:textId="77777777" w:rsidR="005C7E5A" w:rsidRPr="004F564F" w:rsidRDefault="005C7E5A" w:rsidP="005C7E5A">
      <w:pPr>
        <w:spacing w:after="0"/>
        <w:jc w:val="both"/>
        <w:rPr>
          <w:sz w:val="20"/>
          <w:lang w:val="pl-PL"/>
        </w:rPr>
      </w:pPr>
      <w:r w:rsidRPr="004F564F">
        <w:rPr>
          <w:sz w:val="20"/>
          <w:lang w:val="pl-PL"/>
        </w:rPr>
        <w:t>Wyniki te są kluczowe dla firm, ponieważ powinny postrzegać CSP (Corporate Social Performance) jako długoterminową inwestycję w tworzenie zdolności do wywierania wpływu na interesariuszy.</w:t>
      </w:r>
    </w:p>
    <w:p w14:paraId="1166DD17" w14:textId="77777777" w:rsidR="005C7E5A" w:rsidRPr="004F564F" w:rsidRDefault="005C7E5A" w:rsidP="005C7E5A">
      <w:pPr>
        <w:spacing w:after="0"/>
        <w:jc w:val="both"/>
        <w:rPr>
          <w:sz w:val="20"/>
          <w:lang w:val="pl-PL"/>
        </w:rPr>
      </w:pPr>
    </w:p>
    <w:p w14:paraId="323C6D1C" w14:textId="77777777" w:rsidR="00672358" w:rsidRPr="004F564F" w:rsidRDefault="00672358"/>
    <w:p w14:paraId="53329606" w14:textId="77777777" w:rsidR="00672358" w:rsidRPr="004F564F" w:rsidRDefault="00672358"/>
    <w:p w14:paraId="56B24FA0" w14:textId="77777777" w:rsidR="00672358" w:rsidRPr="004F564F" w:rsidRDefault="00672358"/>
    <w:bookmarkEnd w:id="0"/>
    <w:p w14:paraId="11A5991A" w14:textId="77777777" w:rsidR="00672358" w:rsidRPr="004F564F" w:rsidRDefault="00672358"/>
    <w:sectPr w:rsidR="00672358" w:rsidRPr="004F564F" w:rsidSect="00C230E1">
      <w:headerReference w:type="default" r:id="rId48"/>
      <w:footerReference w:type="default" r:id="rId4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4EF059" w14:textId="77777777" w:rsidR="004E6098" w:rsidRDefault="004E6098" w:rsidP="00D322B8">
      <w:pPr>
        <w:spacing w:after="0" w:line="240" w:lineRule="auto"/>
      </w:pPr>
      <w:r>
        <w:separator/>
      </w:r>
    </w:p>
  </w:endnote>
  <w:endnote w:type="continuationSeparator" w:id="0">
    <w:p w14:paraId="4EF9222C" w14:textId="77777777" w:rsidR="004E6098" w:rsidRDefault="004E6098" w:rsidP="00D322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6A58C8" w14:textId="77777777" w:rsidR="004F564F" w:rsidRPr="0004573A" w:rsidRDefault="004F564F" w:rsidP="004F564F">
    <w:pPr>
      <w:pStyle w:val="Stopka"/>
      <w:pBdr>
        <w:top w:val="single" w:sz="4" w:space="1" w:color="auto"/>
      </w:pBdr>
      <w:jc w:val="both"/>
      <w:rPr>
        <w:rFonts w:ascii="Calibri Light" w:hAnsi="Calibri Light" w:cs="Calibri Light"/>
        <w:spacing w:val="-2"/>
        <w:sz w:val="2"/>
        <w:szCs w:val="2"/>
      </w:rPr>
    </w:pPr>
    <w:bookmarkStart w:id="16" w:name="_Hlk72502989"/>
    <w:bookmarkStart w:id="17" w:name="_Hlk72502990"/>
    <w:bookmarkStart w:id="18" w:name="_Hlk72503056"/>
    <w:bookmarkStart w:id="19" w:name="_Hlk72503057"/>
    <w:bookmarkStart w:id="20" w:name="_Hlk72503166"/>
    <w:bookmarkStart w:id="21" w:name="_Hlk72503167"/>
    <w:bookmarkStart w:id="22" w:name="_Hlk72503193"/>
    <w:bookmarkStart w:id="23" w:name="_Hlk72503194"/>
    <w:bookmarkStart w:id="24" w:name="_Hlk72503359"/>
    <w:bookmarkStart w:id="25" w:name="_Hlk72503360"/>
    <w:bookmarkStart w:id="26" w:name="_Hlk72503361"/>
    <w:bookmarkStart w:id="27" w:name="_Hlk72503362"/>
    <w:bookmarkStart w:id="28" w:name="_Hlk72503971"/>
    <w:bookmarkStart w:id="29" w:name="_Hlk72503972"/>
    <w:r w:rsidRPr="00E93D03">
      <w:rPr>
        <w:rFonts w:ascii="Calibri Light" w:hAnsi="Calibri Light" w:cs="Calibri Light"/>
        <w:spacing w:val="-2"/>
        <w:sz w:val="18"/>
        <w:szCs w:val="20"/>
        <w:lang w:val="en-US"/>
      </w:rPr>
      <w:t>This project has been funded with support from the European Commission. This publication reflects the views only of the author, and the Commission cannot be held responsible for any use which may be made of the information contained therein.</w:t>
    </w:r>
    <w:r w:rsidRPr="00E93D03">
      <w:rPr>
        <w:rFonts w:ascii="Calibri Light" w:hAnsi="Calibri Light" w:cs="Calibri Light"/>
        <w:noProof/>
        <w:spacing w:val="-2"/>
        <w:sz w:val="18"/>
        <w:szCs w:val="20"/>
        <w:lang w:eastAsia="pl-PL"/>
      </w:rPr>
      <w:drawing>
        <wp:anchor distT="0" distB="0" distL="114300" distR="114300" simplePos="0" relativeHeight="251661312" behindDoc="0" locked="0" layoutInCell="1" allowOverlap="1" wp14:anchorId="0DDCDBBB" wp14:editId="6CE65E10">
          <wp:simplePos x="0" y="0"/>
          <wp:positionH relativeFrom="column">
            <wp:posOffset>2077720</wp:posOffset>
          </wp:positionH>
          <wp:positionV relativeFrom="paragraph">
            <wp:posOffset>9784715</wp:posOffset>
          </wp:positionV>
          <wp:extent cx="596900" cy="388620"/>
          <wp:effectExtent l="0" t="0" r="0" b="0"/>
          <wp:wrapNone/>
          <wp:docPr id="10" name="Obraz 10" descr="https://eacea.ec.europa.eu/sites/eacea-site/files/eu_flag-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1" descr="https://eacea.ec.europa.eu/sites/eacea-site/files/eu_flag-2015.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900" cy="3886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E93D03">
      <w:rPr>
        <w:rFonts w:ascii="Calibri Light" w:hAnsi="Calibri Light" w:cs="Calibri Light"/>
        <w:noProof/>
        <w:spacing w:val="-2"/>
        <w:sz w:val="18"/>
        <w:szCs w:val="20"/>
        <w:lang w:eastAsia="pl-PL"/>
      </w:rPr>
      <w:drawing>
        <wp:anchor distT="0" distB="0" distL="114300" distR="114300" simplePos="0" relativeHeight="251660288" behindDoc="0" locked="0" layoutInCell="1" allowOverlap="1" wp14:anchorId="5CB37071" wp14:editId="6AED76CA">
          <wp:simplePos x="0" y="0"/>
          <wp:positionH relativeFrom="column">
            <wp:posOffset>2077720</wp:posOffset>
          </wp:positionH>
          <wp:positionV relativeFrom="paragraph">
            <wp:posOffset>9784715</wp:posOffset>
          </wp:positionV>
          <wp:extent cx="596900" cy="388620"/>
          <wp:effectExtent l="0" t="0" r="0" b="0"/>
          <wp:wrapNone/>
          <wp:docPr id="8" name="Obraz 8" descr="https://eacea.ec.europa.eu/sites/eacea-site/files/eu_flag-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1" descr="https://eacea.ec.europa.eu/sites/eacea-site/files/eu_flag-2015.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900" cy="3886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E93D03">
      <w:rPr>
        <w:rFonts w:ascii="Calibri Light" w:hAnsi="Calibri Light" w:cs="Calibri Light"/>
        <w:noProof/>
        <w:spacing w:val="-2"/>
        <w:sz w:val="18"/>
        <w:szCs w:val="20"/>
        <w:lang w:eastAsia="pl-PL"/>
      </w:rPr>
      <w:drawing>
        <wp:anchor distT="0" distB="0" distL="114300" distR="114300" simplePos="0" relativeHeight="251659264" behindDoc="0" locked="0" layoutInCell="1" allowOverlap="1" wp14:anchorId="32F3181F" wp14:editId="32F1371A">
          <wp:simplePos x="0" y="0"/>
          <wp:positionH relativeFrom="column">
            <wp:posOffset>2077720</wp:posOffset>
          </wp:positionH>
          <wp:positionV relativeFrom="paragraph">
            <wp:posOffset>9784715</wp:posOffset>
          </wp:positionV>
          <wp:extent cx="596900" cy="388620"/>
          <wp:effectExtent l="0" t="0" r="0" b="0"/>
          <wp:wrapNone/>
          <wp:docPr id="11" name="Obraz 11" descr="https://eacea.ec.europa.eu/sites/eacea-site/files/eu_flag-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1" descr="https://eacea.ec.europa.eu/sites/eacea-site/files/eu_flag-2015.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900" cy="3886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Calibri Light" w:hAnsi="Calibri Light" w:cs="Calibri Light"/>
        <w:spacing w:val="-2"/>
        <w:sz w:val="18"/>
        <w:szCs w:val="20"/>
        <w:lang w:val="en-US"/>
      </w:rPr>
      <w:br/>
    </w:r>
    <w:bookmarkEnd w:id="16"/>
    <w:bookmarkEnd w:id="17"/>
    <w:bookmarkEnd w:id="18"/>
    <w:bookmarkEnd w:id="19"/>
    <w:bookmarkEnd w:id="20"/>
    <w:bookmarkEnd w:id="21"/>
    <w:bookmarkEnd w:id="22"/>
    <w:bookmarkEnd w:id="23"/>
    <w:bookmarkEnd w:id="24"/>
    <w:bookmarkEnd w:id="25"/>
    <w:bookmarkEnd w:id="26"/>
    <w:bookmarkEnd w:id="27"/>
    <w:bookmarkEnd w:id="28"/>
    <w:bookmarkEnd w:id="29"/>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66E3E0" w14:textId="77777777" w:rsidR="004E6098" w:rsidRDefault="004E6098" w:rsidP="00D322B8">
      <w:pPr>
        <w:spacing w:after="0" w:line="240" w:lineRule="auto"/>
      </w:pPr>
      <w:r>
        <w:separator/>
      </w:r>
    </w:p>
  </w:footnote>
  <w:footnote w:type="continuationSeparator" w:id="0">
    <w:p w14:paraId="1B2CBBF3" w14:textId="77777777" w:rsidR="004E6098" w:rsidRDefault="004E6098" w:rsidP="00D322B8">
      <w:pPr>
        <w:spacing w:after="0" w:line="240" w:lineRule="auto"/>
      </w:pPr>
      <w:r>
        <w:continuationSeparator/>
      </w:r>
    </w:p>
  </w:footnote>
  <w:footnote w:id="1">
    <w:p w14:paraId="17AC6266" w14:textId="77777777" w:rsidR="00C04088" w:rsidRPr="007E0A9F" w:rsidRDefault="00C04088" w:rsidP="00C04088">
      <w:pPr>
        <w:pStyle w:val="Tekstprzypisudolnego"/>
        <w:rPr>
          <w:lang w:val="en-US"/>
        </w:rPr>
      </w:pPr>
      <w:r>
        <w:rPr>
          <w:rStyle w:val="Odwoanieprzypisudolnego"/>
        </w:rPr>
        <w:footnoteRef/>
      </w:r>
      <w:r>
        <w:t xml:space="preserve"> </w:t>
      </w:r>
      <w:r w:rsidRPr="007E0A9F">
        <w:rPr>
          <w:lang w:val="en-US"/>
        </w:rPr>
        <w:t>F. Carrasco (2011) Introduction to Hydropower</w:t>
      </w:r>
      <w:r>
        <w:rPr>
          <w:lang w:val="en-US"/>
        </w:rPr>
        <w:t>, The English Press, p. 4-7</w:t>
      </w:r>
    </w:p>
  </w:footnote>
  <w:footnote w:id="2">
    <w:p w14:paraId="4B47A73D" w14:textId="77777777" w:rsidR="00C04088" w:rsidRPr="00F8481E" w:rsidRDefault="00C04088" w:rsidP="00C04088">
      <w:pPr>
        <w:pStyle w:val="Tekstprzypisudolnego"/>
        <w:rPr>
          <w:lang w:val="en-US"/>
        </w:rPr>
      </w:pPr>
      <w:r>
        <w:rPr>
          <w:rStyle w:val="Odwoanieprzypisudolnego"/>
        </w:rPr>
        <w:footnoteRef/>
      </w:r>
      <w:r>
        <w:t xml:space="preserve"> </w:t>
      </w:r>
      <w:r w:rsidRPr="00F8481E">
        <w:rPr>
          <w:lang w:val="en-US"/>
        </w:rPr>
        <w:t>Ibid</w:t>
      </w:r>
    </w:p>
  </w:footnote>
  <w:footnote w:id="3">
    <w:p w14:paraId="16E7B43E" w14:textId="77777777" w:rsidR="00F527DA" w:rsidRPr="003A28AD" w:rsidRDefault="00F527DA" w:rsidP="00F527DA">
      <w:pPr>
        <w:pStyle w:val="Tekstprzypisudolnego"/>
        <w:rPr>
          <w:lang w:val="en-US"/>
        </w:rPr>
      </w:pPr>
      <w:r>
        <w:rPr>
          <w:rStyle w:val="Odwoanieprzypisudolnego"/>
        </w:rPr>
        <w:footnoteRef/>
      </w:r>
      <w:r>
        <w:t xml:space="preserve"> </w:t>
      </w:r>
      <w:hyperlink r:id="rId1" w:history="1">
        <w:r>
          <w:rPr>
            <w:rStyle w:val="Hipercze"/>
          </w:rPr>
          <w:t>https://www.energy.gov/science-innovation/energy-sources/renewable-energy/solar</w:t>
        </w:r>
      </w:hyperlink>
      <w:r>
        <w:t xml:space="preserve"> (04.11.2019)</w:t>
      </w:r>
    </w:p>
  </w:footnote>
  <w:footnote w:id="4">
    <w:p w14:paraId="51FA6346" w14:textId="77777777" w:rsidR="00F527DA" w:rsidRPr="003A28AD" w:rsidRDefault="00F527DA" w:rsidP="00F527DA">
      <w:pPr>
        <w:pStyle w:val="Tekstprzypisudolnego"/>
        <w:rPr>
          <w:lang w:val="en-US"/>
        </w:rPr>
      </w:pPr>
      <w:r>
        <w:rPr>
          <w:rStyle w:val="Odwoanieprzypisudolnego"/>
        </w:rPr>
        <w:footnoteRef/>
      </w:r>
      <w:r>
        <w:t xml:space="preserve"> </w:t>
      </w:r>
      <w:hyperlink r:id="rId2" w:history="1">
        <w:r>
          <w:rPr>
            <w:rStyle w:val="Hipercze"/>
          </w:rPr>
          <w:t>https://www.irena.org/solar</w:t>
        </w:r>
      </w:hyperlink>
      <w:r>
        <w:t xml:space="preserve"> (04.11.2019)</w:t>
      </w:r>
    </w:p>
  </w:footnote>
  <w:footnote w:id="5">
    <w:p w14:paraId="0DBF497A" w14:textId="77777777" w:rsidR="00DA1736" w:rsidRPr="00FA5E0B" w:rsidRDefault="00DA1736" w:rsidP="00DA1736">
      <w:pPr>
        <w:pStyle w:val="Tekstprzypisudolnego"/>
        <w:rPr>
          <w:lang w:val="en-US"/>
        </w:rPr>
      </w:pPr>
      <w:r>
        <w:rPr>
          <w:rStyle w:val="Odwoanieprzypisudolnego"/>
        </w:rPr>
        <w:footnoteRef/>
      </w:r>
      <w:r>
        <w:t xml:space="preserve"> </w:t>
      </w:r>
      <w:hyperlink r:id="rId3" w:history="1">
        <w:r>
          <w:rPr>
            <w:rStyle w:val="Hipercze"/>
          </w:rPr>
          <w:t>https://www.irena.org/en/bioenergy</w:t>
        </w:r>
      </w:hyperlink>
      <w:r>
        <w:t xml:space="preserve"> (04.11.2019)</w:t>
      </w:r>
    </w:p>
  </w:footnote>
  <w:footnote w:id="6">
    <w:p w14:paraId="7E728703" w14:textId="77777777" w:rsidR="00DA1736" w:rsidRPr="002034F6" w:rsidRDefault="00DA1736" w:rsidP="00DA1736">
      <w:pPr>
        <w:pStyle w:val="Tekstprzypisudolnego"/>
        <w:rPr>
          <w:lang w:val="en-US"/>
        </w:rPr>
      </w:pPr>
      <w:r>
        <w:rPr>
          <w:rStyle w:val="Odwoanieprzypisudolnego"/>
        </w:rPr>
        <w:footnoteRef/>
      </w:r>
      <w:r>
        <w:t xml:space="preserve"> </w:t>
      </w:r>
      <w:hyperlink r:id="rId4" w:history="1">
        <w:r>
          <w:rPr>
            <w:rStyle w:val="Hipercze"/>
          </w:rPr>
          <w:t>https://www.thebalance.com/what-is-bioenergy-2941107</w:t>
        </w:r>
      </w:hyperlink>
      <w:r>
        <w:t xml:space="preserve"> (04.11.2019)</w:t>
      </w:r>
    </w:p>
  </w:footnote>
  <w:footnote w:id="7">
    <w:p w14:paraId="0AB2790D" w14:textId="77777777" w:rsidR="00DA1736" w:rsidRPr="00695B26" w:rsidRDefault="00DA1736" w:rsidP="00DA1736">
      <w:pPr>
        <w:pStyle w:val="Tekstprzypisudolnego"/>
      </w:pPr>
      <w:r>
        <w:rPr>
          <w:rStyle w:val="Odwoanieprzypisudolnego"/>
        </w:rPr>
        <w:footnoteRef/>
      </w:r>
      <w:r>
        <w:t xml:space="preserve"> </w:t>
      </w:r>
      <w:hyperlink r:id="rId5" w:history="1">
        <w:r>
          <w:rPr>
            <w:rStyle w:val="Hipercze"/>
          </w:rPr>
          <w:t>https://www.energy.gov/eere/geothermal/geothermal-basics</w:t>
        </w:r>
      </w:hyperlink>
      <w:r>
        <w:t xml:space="preserve"> (05.11.2019)</w:t>
      </w:r>
    </w:p>
  </w:footnote>
  <w:footnote w:id="8">
    <w:p w14:paraId="7BDA9E0B" w14:textId="77777777" w:rsidR="00C936A4" w:rsidRPr="0034697C" w:rsidRDefault="00C936A4" w:rsidP="00C936A4">
      <w:pPr>
        <w:pStyle w:val="Tekstprzypisudolnego"/>
        <w:rPr>
          <w:lang w:val="en-US"/>
        </w:rPr>
      </w:pPr>
      <w:r>
        <w:rPr>
          <w:rStyle w:val="Odwoanieprzypisudolnego"/>
        </w:rPr>
        <w:footnoteRef/>
      </w:r>
      <w:r>
        <w:t xml:space="preserve"> </w:t>
      </w:r>
      <w:r w:rsidRPr="0034697C">
        <w:rPr>
          <w:lang w:val="en-US"/>
        </w:rPr>
        <w:t>Ibid</w:t>
      </w:r>
    </w:p>
  </w:footnote>
  <w:footnote w:id="9">
    <w:p w14:paraId="0CEE004A" w14:textId="77777777" w:rsidR="0019702E" w:rsidRPr="00CB3F55" w:rsidRDefault="0019702E" w:rsidP="0019702E">
      <w:pPr>
        <w:pStyle w:val="Tekstprzypisudolnego"/>
        <w:rPr>
          <w:lang w:val="en-US"/>
        </w:rPr>
      </w:pPr>
      <w:r>
        <w:rPr>
          <w:rStyle w:val="Odwoanieprzypisudolnego"/>
        </w:rPr>
        <w:footnoteRef/>
      </w:r>
      <w:r w:rsidRPr="00CB3F55">
        <w:rPr>
          <w:lang w:val="en-US"/>
        </w:rPr>
        <w:t xml:space="preserve"> R.Geyer, J.R.Jambeck, K.L.Law (2017), Pro</w:t>
      </w:r>
      <w:r>
        <w:rPr>
          <w:lang w:val="en-US"/>
        </w:rPr>
        <w:t xml:space="preserve">duction, use, and fate of all plastics ever made. Science Advances </w:t>
      </w:r>
    </w:p>
  </w:footnote>
  <w:footnote w:id="10">
    <w:p w14:paraId="218DC6C4" w14:textId="77777777" w:rsidR="002E2CA6" w:rsidRPr="00A30288" w:rsidRDefault="002E2CA6" w:rsidP="002E2CA6">
      <w:pPr>
        <w:pStyle w:val="Tekstprzypisudolnego"/>
        <w:rPr>
          <w:lang w:val="en-US"/>
        </w:rPr>
      </w:pPr>
      <w:r>
        <w:rPr>
          <w:rStyle w:val="Odwoanieprzypisudolnego"/>
        </w:rPr>
        <w:footnoteRef/>
      </w:r>
      <w:r>
        <w:t xml:space="preserve"> </w:t>
      </w:r>
      <w:hyperlink r:id="rId6" w:history="1">
        <w:r>
          <w:rPr>
            <w:rStyle w:val="Hipercze"/>
          </w:rPr>
          <w:t>https://cosmosmagazine.com/society/global-plastic-waste-totals-4-9-billion-tonnes</w:t>
        </w:r>
      </w:hyperlink>
      <w:r>
        <w:t xml:space="preserve"> (05.11.2019)</w:t>
      </w:r>
    </w:p>
  </w:footnote>
  <w:footnote w:id="11">
    <w:p w14:paraId="570F034D" w14:textId="77777777" w:rsidR="00B54814" w:rsidRPr="0027750E" w:rsidRDefault="00B54814" w:rsidP="00B54814">
      <w:pPr>
        <w:pStyle w:val="Tekstprzypisudolnego"/>
      </w:pPr>
      <w:r>
        <w:rPr>
          <w:rStyle w:val="Odwoanieprzypisudolnego"/>
        </w:rPr>
        <w:footnoteRef/>
      </w:r>
      <w:r>
        <w:t xml:space="preserve"> </w:t>
      </w:r>
      <w:hyperlink r:id="rId7" w:history="1">
        <w:r>
          <w:rPr>
            <w:rStyle w:val="Hipercze"/>
          </w:rPr>
          <w:t>https://www.morganstanley.com/ideas/the-worlds-water-crisis-and-industries-at-risk</w:t>
        </w:r>
      </w:hyperlink>
      <w:r>
        <w:t xml:space="preserve"> (05.11.2019)</w:t>
      </w:r>
    </w:p>
  </w:footnote>
  <w:footnote w:id="12">
    <w:p w14:paraId="75FE805A" w14:textId="77777777" w:rsidR="00B54814" w:rsidRPr="0027750E" w:rsidRDefault="00B54814" w:rsidP="00B54814">
      <w:pPr>
        <w:pStyle w:val="Tekstprzypisudolnego"/>
        <w:rPr>
          <w:lang w:val="en-US"/>
        </w:rPr>
      </w:pPr>
      <w:r>
        <w:rPr>
          <w:rStyle w:val="Odwoanieprzypisudolnego"/>
        </w:rPr>
        <w:footnoteRef/>
      </w:r>
      <w:r>
        <w:t xml:space="preserve"> </w:t>
      </w:r>
      <w:hyperlink r:id="rId8" w:history="1">
        <w:r>
          <w:rPr>
            <w:rStyle w:val="Hipercze"/>
          </w:rPr>
          <w:t>https://www.unwater.org/water-facts/water-food-and-energy/</w:t>
        </w:r>
      </w:hyperlink>
      <w:r>
        <w:t xml:space="preserve"> (05.11.2019)</w:t>
      </w:r>
    </w:p>
  </w:footnote>
  <w:footnote w:id="13">
    <w:p w14:paraId="3F8F05AA" w14:textId="77777777" w:rsidR="002E3D86" w:rsidRPr="004E4996" w:rsidRDefault="002E3D86" w:rsidP="002E3D86">
      <w:pPr>
        <w:pStyle w:val="Tekstprzypisudolnego"/>
        <w:rPr>
          <w:lang w:val="en-US"/>
        </w:rPr>
      </w:pPr>
      <w:r>
        <w:rPr>
          <w:rStyle w:val="Odwoanieprzypisudolnego"/>
        </w:rPr>
        <w:footnoteRef/>
      </w:r>
      <w:r>
        <w:t xml:space="preserve"> </w:t>
      </w:r>
      <w:hyperlink r:id="rId9" w:history="1">
        <w:r>
          <w:rPr>
            <w:rStyle w:val="Hipercze"/>
          </w:rPr>
          <w:t>http://definedelectric.com/efficient-energy-use/</w:t>
        </w:r>
      </w:hyperlink>
      <w:r>
        <w:t xml:space="preserve"> (05.11.2019)</w:t>
      </w:r>
    </w:p>
  </w:footnote>
  <w:footnote w:id="14">
    <w:p w14:paraId="6CD92618" w14:textId="77777777" w:rsidR="002E3D86" w:rsidRPr="004E4996" w:rsidRDefault="002E3D86" w:rsidP="002E3D86">
      <w:pPr>
        <w:pStyle w:val="Tekstprzypisudolnego"/>
      </w:pPr>
      <w:r>
        <w:rPr>
          <w:rStyle w:val="Odwoanieprzypisudolnego"/>
        </w:rPr>
        <w:footnoteRef/>
      </w:r>
      <w:r>
        <w:t xml:space="preserve"> </w:t>
      </w:r>
      <w:hyperlink r:id="rId10" w:history="1">
        <w:r>
          <w:rPr>
            <w:rStyle w:val="Hipercze"/>
          </w:rPr>
          <w:t>https://en.wikipedia.org/wiki/Efficient_energy_use</w:t>
        </w:r>
      </w:hyperlink>
      <w:r>
        <w:t xml:space="preserve"> (05.11.2019)</w:t>
      </w:r>
    </w:p>
  </w:footnote>
  <w:footnote w:id="15">
    <w:p w14:paraId="619750AA" w14:textId="77777777" w:rsidR="00383812" w:rsidRPr="00515EB9" w:rsidRDefault="00383812" w:rsidP="00383812">
      <w:pPr>
        <w:pStyle w:val="Tekstprzypisudolnego"/>
        <w:rPr>
          <w:lang w:val="en-US"/>
        </w:rPr>
      </w:pPr>
      <w:r>
        <w:rPr>
          <w:rStyle w:val="Odwoanieprzypisudolnego"/>
        </w:rPr>
        <w:footnoteRef/>
      </w:r>
      <w:r w:rsidRPr="00515EB9">
        <w:rPr>
          <w:lang w:val="en-US"/>
        </w:rPr>
        <w:t xml:space="preserve"> International Inst</w:t>
      </w:r>
      <w:r>
        <w:rPr>
          <w:lang w:val="en-US"/>
        </w:rPr>
        <w:t xml:space="preserve">itute for Sustainable Development </w:t>
      </w:r>
    </w:p>
  </w:footnote>
  <w:footnote w:id="16">
    <w:p w14:paraId="04FE83F8" w14:textId="77777777" w:rsidR="006823D6" w:rsidRPr="00296FEA" w:rsidRDefault="006823D6" w:rsidP="006823D6">
      <w:pPr>
        <w:pStyle w:val="Tekstprzypisudolnego"/>
      </w:pPr>
      <w:r>
        <w:rPr>
          <w:rStyle w:val="Odwoanieprzypisudolnego"/>
        </w:rPr>
        <w:footnoteRef/>
      </w:r>
      <w:r>
        <w:t xml:space="preserve"> </w:t>
      </w:r>
      <w:hyperlink r:id="rId11" w:history="1">
        <w:r w:rsidRPr="00296FEA">
          <w:rPr>
            <w:rStyle w:val="Hipercze"/>
          </w:rPr>
          <w:t>https://www.stern.nyu.edu/experience-stern/about/departments-centers-initiatives/centers-of-research/center-sustainable-business/research/csb-monetization-methodology</w:t>
        </w:r>
      </w:hyperlink>
      <w:r w:rsidRPr="00296FEA">
        <w:rPr>
          <w:rStyle w:val="Hipercze"/>
        </w:rPr>
        <w:t xml:space="preserve"> </w:t>
      </w:r>
      <w:r w:rsidRPr="00296FEA">
        <w:t>(05.11.2019)</w:t>
      </w:r>
    </w:p>
  </w:footnote>
  <w:footnote w:id="17">
    <w:p w14:paraId="33197E63" w14:textId="77777777" w:rsidR="008C4C21" w:rsidRPr="00515EB9" w:rsidRDefault="008C4C21" w:rsidP="008C4C21">
      <w:pPr>
        <w:pStyle w:val="Tekstprzypisudolnego"/>
        <w:rPr>
          <w:lang w:val="en-US"/>
        </w:rPr>
      </w:pPr>
      <w:r>
        <w:rPr>
          <w:rStyle w:val="Odwoanieprzypisudolnego"/>
        </w:rPr>
        <w:footnoteRef/>
      </w:r>
      <w:r w:rsidRPr="00515EB9">
        <w:rPr>
          <w:lang w:val="en-US"/>
        </w:rPr>
        <w:t xml:space="preserve"> </w:t>
      </w:r>
      <w:hyperlink r:id="rId12" w:history="1">
        <w:r w:rsidRPr="00515EB9">
          <w:rPr>
            <w:rStyle w:val="Hipercze"/>
            <w:lang w:val="en-US"/>
          </w:rPr>
          <w:t>https://www.morganstanley.com/ideas/sustainable-investing-growing-interest-and-adoption</w:t>
        </w:r>
      </w:hyperlink>
      <w:r w:rsidRPr="00515EB9">
        <w:rPr>
          <w:lang w:val="en-US"/>
        </w:rPr>
        <w:t xml:space="preserve"> (05.11.2019)</w:t>
      </w:r>
    </w:p>
  </w:footnote>
  <w:footnote w:id="18">
    <w:p w14:paraId="741265C4" w14:textId="77777777" w:rsidR="008C4C21" w:rsidRPr="0034697C" w:rsidRDefault="008C4C21" w:rsidP="008C4C21">
      <w:pPr>
        <w:pStyle w:val="Tekstprzypisudolnego"/>
        <w:rPr>
          <w:lang w:val="en-US"/>
        </w:rPr>
      </w:pPr>
      <w:r>
        <w:rPr>
          <w:rStyle w:val="Odwoanieprzypisudolnego"/>
        </w:rPr>
        <w:footnoteRef/>
      </w:r>
      <w:r w:rsidRPr="0034697C">
        <w:rPr>
          <w:lang w:val="en-US"/>
        </w:rPr>
        <w:t xml:space="preserve"> </w:t>
      </w:r>
      <w:hyperlink r:id="rId13" w:history="1">
        <w:r w:rsidRPr="0034697C">
          <w:rPr>
            <w:rStyle w:val="Hipercze"/>
            <w:lang w:val="en-US"/>
          </w:rPr>
          <w:t>https://hbr.org/2019/07/the-elusive-green-consumer</w:t>
        </w:r>
      </w:hyperlink>
      <w:r w:rsidRPr="0034697C">
        <w:rPr>
          <w:lang w:val="en-US"/>
        </w:rPr>
        <w:t xml:space="preserve"> (05.11.2019)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22E055" w14:textId="77777777" w:rsidR="004F564F" w:rsidRPr="00C435F0" w:rsidRDefault="004F564F" w:rsidP="004F564F">
    <w:pPr>
      <w:pStyle w:val="Nagwek"/>
      <w:tabs>
        <w:tab w:val="clear" w:pos="4536"/>
        <w:tab w:val="clear" w:pos="9072"/>
      </w:tabs>
      <w:rPr>
        <w:rFonts w:cstheme="minorHAnsi"/>
      </w:rPr>
    </w:pPr>
    <w:bookmarkStart w:id="1" w:name="_Hlk72503207"/>
    <w:bookmarkStart w:id="2" w:name="_Hlk72502950"/>
    <w:bookmarkStart w:id="3" w:name="_Hlk72502951"/>
    <w:bookmarkStart w:id="4" w:name="_Hlk72503214"/>
    <w:bookmarkStart w:id="5" w:name="_Hlk72503215"/>
    <w:bookmarkStart w:id="6" w:name="_Hlk72503284"/>
    <w:bookmarkStart w:id="7" w:name="_Hlk72503285"/>
    <w:bookmarkStart w:id="8" w:name="_Hlk72503305"/>
    <w:bookmarkStart w:id="9" w:name="_Hlk72503306"/>
    <w:bookmarkStart w:id="10" w:name="_Hlk72503309"/>
    <w:bookmarkStart w:id="11" w:name="_Hlk72503310"/>
    <w:bookmarkStart w:id="12" w:name="_Hlk72503373"/>
    <w:bookmarkStart w:id="13" w:name="_Hlk72503374"/>
    <w:bookmarkStart w:id="14" w:name="_Hlk72503932"/>
    <w:bookmarkStart w:id="15" w:name="_Hlk72503933"/>
    <w:r>
      <w:rPr>
        <w:noProof/>
        <w:lang w:eastAsia="pl-PL"/>
      </w:rPr>
      <w:drawing>
        <wp:anchor distT="0" distB="0" distL="114300" distR="114300" simplePos="0" relativeHeight="251664384" behindDoc="0" locked="1" layoutInCell="1" allowOverlap="1" wp14:anchorId="637FB7E8" wp14:editId="35BF281B">
          <wp:simplePos x="0" y="0"/>
          <wp:positionH relativeFrom="margin">
            <wp:posOffset>5151120</wp:posOffset>
          </wp:positionH>
          <wp:positionV relativeFrom="margin">
            <wp:posOffset>-756285</wp:posOffset>
          </wp:positionV>
          <wp:extent cx="608400" cy="399600"/>
          <wp:effectExtent l="0" t="0" r="1270" b="635"/>
          <wp:wrapSquare wrapText="bothSides"/>
          <wp:docPr id="18" name="Obraz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8400" cy="399600"/>
                  </a:xfrm>
                  <a:prstGeom prst="rect">
                    <a:avLst/>
                  </a:prstGeom>
                  <a:noFill/>
                </pic:spPr>
              </pic:pic>
            </a:graphicData>
          </a:graphic>
          <wp14:sizeRelH relativeFrom="margin">
            <wp14:pctWidth>0</wp14:pctWidth>
          </wp14:sizeRelH>
          <wp14:sizeRelV relativeFrom="margin">
            <wp14:pctHeight>0</wp14:pctHeight>
          </wp14:sizeRelV>
        </wp:anchor>
      </w:drawing>
    </w:r>
    <w:r>
      <w:rPr>
        <w:noProof/>
        <w:lang w:eastAsia="pl-PL"/>
      </w:rPr>
      <mc:AlternateContent>
        <mc:Choice Requires="wps">
          <w:drawing>
            <wp:anchor distT="0" distB="0" distL="114300" distR="114300" simplePos="0" relativeHeight="251663360" behindDoc="0" locked="0" layoutInCell="1" allowOverlap="1" wp14:anchorId="01727213" wp14:editId="1E8EE359">
              <wp:simplePos x="0" y="0"/>
              <wp:positionH relativeFrom="column">
                <wp:posOffset>2727889</wp:posOffset>
              </wp:positionH>
              <wp:positionV relativeFrom="paragraph">
                <wp:posOffset>218165</wp:posOffset>
              </wp:positionV>
              <wp:extent cx="2547607" cy="224933"/>
              <wp:effectExtent l="0" t="0" r="0" b="3810"/>
              <wp:wrapNone/>
              <wp:docPr id="24" name="Pole tekstowe 24"/>
              <wp:cNvGraphicFramePr/>
              <a:graphic xmlns:a="http://schemas.openxmlformats.org/drawingml/2006/main">
                <a:graphicData uri="http://schemas.microsoft.com/office/word/2010/wordprocessingShape">
                  <wps:wsp>
                    <wps:cNvSpPr txBox="1"/>
                    <wps:spPr>
                      <a:xfrm>
                        <a:off x="0" y="0"/>
                        <a:ext cx="2547607" cy="224933"/>
                      </a:xfrm>
                      <a:prstGeom prst="rect">
                        <a:avLst/>
                      </a:prstGeom>
                      <a:noFill/>
                      <a:ln w="6350">
                        <a:noFill/>
                      </a:ln>
                    </wps:spPr>
                    <wps:txbx>
                      <w:txbxContent>
                        <w:p w14:paraId="0074E042" w14:textId="77777777" w:rsidR="004F564F" w:rsidRDefault="004F564F" w:rsidP="004F564F">
                          <w:r w:rsidRPr="00C435F0">
                            <w:rPr>
                              <w:rFonts w:cstheme="minorHAnsi"/>
                              <w:sz w:val="18"/>
                              <w:szCs w:val="18"/>
                            </w:rPr>
                            <w:t>Projekt współfinansowany z programu Erasmus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1727213" id="_x0000_t202" coordsize="21600,21600" o:spt="202" path="m,l,21600r21600,l21600,xe">
              <v:stroke joinstyle="miter"/>
              <v:path gradientshapeok="t" o:connecttype="rect"/>
            </v:shapetype>
            <v:shape id="Pole tekstowe 24" o:spid="_x0000_s1041" type="#_x0000_t202" style="position:absolute;margin-left:214.8pt;margin-top:17.2pt;width:200.6pt;height:17.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" filled="f" stroked="f" strokeweight=".5pt">
              <v:textbox>
                <w:txbxContent>
                  <w:p w14:paraId="0074E042" w14:textId="77777777" w:rsidR="004F564F" w:rsidRDefault="004F564F" w:rsidP="004F564F">
                    <w:r w:rsidRPr="00C435F0">
                      <w:rPr>
                        <w:rFonts w:cstheme="minorHAnsi"/>
                        <w:sz w:val="18"/>
                        <w:szCs w:val="18"/>
                      </w:rPr>
                      <w:t>Projekt współfinansowany z programu Erasmus +</w:t>
                    </w:r>
                  </w:p>
                </w:txbxContent>
              </v:textbox>
            </v:shape>
          </w:pict>
        </mc:Fallback>
      </mc:AlternateContent>
    </w:r>
    <w:r>
      <w:rPr>
        <w:noProof/>
        <w:lang w:eastAsia="pl-PL"/>
      </w:rPr>
      <w:drawing>
        <wp:inline distT="0" distB="0" distL="0" distR="0" wp14:anchorId="6AB499C2" wp14:editId="2D7B974F">
          <wp:extent cx="2526665" cy="443230"/>
          <wp:effectExtent l="0" t="0" r="6985" b="0"/>
          <wp:docPr id="25" name="Obraz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526665" cy="443230"/>
                  </a:xfrm>
                  <a:prstGeom prst="rect">
                    <a:avLst/>
                  </a:prstGeom>
                  <a:noFill/>
                  <a:ln>
                    <a:noFill/>
                  </a:ln>
                </pic:spPr>
              </pic:pic>
            </a:graphicData>
          </a:graphic>
        </wp:inline>
      </w:drawing>
    </w:r>
    <w:r w:rsidRPr="00C435F0">
      <w:rPr>
        <w:rFonts w:ascii="Georgia" w:hAnsi="Georgia"/>
        <w:sz w:val="18"/>
        <w:szCs w:val="18"/>
      </w:rPr>
      <w:t xml:space="preserve"> </w:t>
    </w:r>
    <w:r>
      <w:rPr>
        <w:rFonts w:ascii="Georgia" w:hAnsi="Georgia"/>
        <w:sz w:val="18"/>
        <w:szCs w:val="18"/>
      </w:rPr>
      <w:tab/>
    </w:r>
  </w:p>
  <w:bookmarkEnd w:id="1"/>
  <w:bookmarkEnd w:id="2"/>
  <w:bookmarkEnd w:id="3"/>
  <w:bookmarkEnd w:id="4"/>
  <w:bookmarkEnd w:id="5"/>
  <w:bookmarkEnd w:id="6"/>
  <w:bookmarkEnd w:id="7"/>
  <w:bookmarkEnd w:id="8"/>
  <w:bookmarkEnd w:id="9"/>
  <w:bookmarkEnd w:id="10"/>
  <w:bookmarkEnd w:id="11"/>
  <w:bookmarkEnd w:id="12"/>
  <w:bookmarkEnd w:id="13"/>
  <w:p w14:paraId="3C04DA35" w14:textId="77777777" w:rsidR="004F564F" w:rsidRDefault="004F564F" w:rsidP="004F564F">
    <w:pPr>
      <w:pStyle w:val="Nagwek"/>
    </w:pPr>
  </w:p>
  <w:bookmarkEnd w:id="14"/>
  <w:bookmarkEnd w:id="15"/>
  <w:p w14:paraId="213403BA" w14:textId="77777777" w:rsidR="004F564F" w:rsidRPr="00406479" w:rsidRDefault="004F564F" w:rsidP="004F564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1111F6"/>
    <w:multiLevelType w:val="hybridMultilevel"/>
    <w:tmpl w:val="E8E08FB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B574CBF"/>
    <w:multiLevelType w:val="hybridMultilevel"/>
    <w:tmpl w:val="151641B0"/>
    <w:lvl w:ilvl="0" w:tplc="542C938A">
      <w:start w:val="1"/>
      <w:numFmt w:val="decimal"/>
      <w:lvlText w:val="%1)"/>
      <w:lvlJc w:val="left"/>
      <w:pPr>
        <w:ind w:left="643" w:hanging="360"/>
      </w:pPr>
      <w:rPr>
        <w:rFonts w:asciiTheme="minorHAnsi" w:eastAsiaTheme="minorEastAsia" w:hAnsiTheme="minorHAnsi" w:cstheme="minorBid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0B22B2D"/>
    <w:multiLevelType w:val="hybridMultilevel"/>
    <w:tmpl w:val="30CA12F6"/>
    <w:lvl w:ilvl="0" w:tplc="04150003">
      <w:start w:val="1"/>
      <w:numFmt w:val="bullet"/>
      <w:lvlText w:val="o"/>
      <w:lvlJc w:val="left"/>
      <w:pPr>
        <w:ind w:left="1440" w:hanging="360"/>
      </w:pPr>
      <w:rPr>
        <w:rFonts w:ascii="Courier New" w:hAnsi="Courier New" w:cs="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 w15:restartNumberingAfterBreak="0">
    <w:nsid w:val="142C134F"/>
    <w:multiLevelType w:val="hybridMultilevel"/>
    <w:tmpl w:val="F864B14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78F7A24"/>
    <w:multiLevelType w:val="hybridMultilevel"/>
    <w:tmpl w:val="8F809C2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3191CAC"/>
    <w:multiLevelType w:val="hybridMultilevel"/>
    <w:tmpl w:val="62DAAE40"/>
    <w:lvl w:ilvl="0" w:tplc="542C938A">
      <w:start w:val="1"/>
      <w:numFmt w:val="decimal"/>
      <w:lvlText w:val="%1)"/>
      <w:lvlJc w:val="left"/>
      <w:pPr>
        <w:ind w:left="643" w:hanging="360"/>
      </w:pPr>
      <w:rPr>
        <w:rFonts w:asciiTheme="minorHAnsi" w:eastAsiaTheme="minorEastAsia" w:hAnsiTheme="minorHAnsi" w:cstheme="minorBidi"/>
      </w:r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6" w15:restartNumberingAfterBreak="0">
    <w:nsid w:val="298F0896"/>
    <w:multiLevelType w:val="hybridMultilevel"/>
    <w:tmpl w:val="467C6C5C"/>
    <w:lvl w:ilvl="0" w:tplc="9A8A2596">
      <w:start w:val="1"/>
      <w:numFmt w:val="bullet"/>
      <w:lvlText w:val=""/>
      <w:lvlJc w:val="left"/>
      <w:pPr>
        <w:ind w:left="720" w:hanging="360"/>
      </w:pPr>
      <w:rPr>
        <w:rFonts w:ascii="Symbol" w:eastAsiaTheme="minorEastAsia" w:hAnsi="Symbol" w:cstheme="minorBid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359D0598"/>
    <w:multiLevelType w:val="hybridMultilevel"/>
    <w:tmpl w:val="A3A6951E"/>
    <w:lvl w:ilvl="0" w:tplc="454611EA">
      <w:start w:val="1"/>
      <w:numFmt w:val="bullet"/>
      <w:lvlText w:val=""/>
      <w:lvlJc w:val="left"/>
      <w:pPr>
        <w:ind w:left="1080" w:hanging="360"/>
      </w:pPr>
      <w:rPr>
        <w:rFonts w:ascii="Symbol" w:eastAsiaTheme="minorEastAsia" w:hAnsi="Symbol" w:cstheme="minorBidi"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8" w15:restartNumberingAfterBreak="0">
    <w:nsid w:val="3A2E2FED"/>
    <w:multiLevelType w:val="hybridMultilevel"/>
    <w:tmpl w:val="8DE04DB0"/>
    <w:lvl w:ilvl="0" w:tplc="9A8A2596">
      <w:start w:val="1"/>
      <w:numFmt w:val="bullet"/>
      <w:lvlText w:val=""/>
      <w:lvlJc w:val="left"/>
      <w:pPr>
        <w:ind w:left="720" w:hanging="360"/>
      </w:pPr>
      <w:rPr>
        <w:rFonts w:ascii="Symbol" w:eastAsiaTheme="minorEastAsia" w:hAnsi="Symbol" w:cstheme="minorBid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3AF210E7"/>
    <w:multiLevelType w:val="hybridMultilevel"/>
    <w:tmpl w:val="380A320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E6B5D90"/>
    <w:multiLevelType w:val="hybridMultilevel"/>
    <w:tmpl w:val="D42292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06405F3"/>
    <w:multiLevelType w:val="hybridMultilevel"/>
    <w:tmpl w:val="F1A017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6FC0173"/>
    <w:multiLevelType w:val="hybridMultilevel"/>
    <w:tmpl w:val="93E2EC3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164309C"/>
    <w:multiLevelType w:val="hybridMultilevel"/>
    <w:tmpl w:val="D116F3B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61EC5D91"/>
    <w:multiLevelType w:val="hybridMultilevel"/>
    <w:tmpl w:val="FDC8821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8A12F0E"/>
    <w:multiLevelType w:val="multilevel"/>
    <w:tmpl w:val="B35C584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71063237"/>
    <w:multiLevelType w:val="hybridMultilevel"/>
    <w:tmpl w:val="5E66ECEC"/>
    <w:lvl w:ilvl="0" w:tplc="9A8A2596">
      <w:start w:val="1"/>
      <w:numFmt w:val="bullet"/>
      <w:lvlText w:val=""/>
      <w:lvlJc w:val="left"/>
      <w:pPr>
        <w:ind w:left="720" w:hanging="360"/>
      </w:pPr>
      <w:rPr>
        <w:rFonts w:ascii="Symbol" w:eastAsiaTheme="minorEastAsia" w:hAnsi="Symbol" w:cstheme="minorBid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5"/>
  </w:num>
  <w:num w:numId="2">
    <w:abstractNumId w:val="12"/>
  </w:num>
  <w:num w:numId="3">
    <w:abstractNumId w:val="0"/>
  </w:num>
  <w:num w:numId="4">
    <w:abstractNumId w:val="11"/>
  </w:num>
  <w:num w:numId="5">
    <w:abstractNumId w:val="9"/>
  </w:num>
  <w:num w:numId="6">
    <w:abstractNumId w:val="7"/>
  </w:num>
  <w:num w:numId="7">
    <w:abstractNumId w:val="5"/>
  </w:num>
  <w:num w:numId="8">
    <w:abstractNumId w:val="1"/>
  </w:num>
  <w:num w:numId="9">
    <w:abstractNumId w:val="3"/>
  </w:num>
  <w:num w:numId="10">
    <w:abstractNumId w:val="4"/>
  </w:num>
  <w:num w:numId="11">
    <w:abstractNumId w:val="10"/>
  </w:num>
  <w:num w:numId="12">
    <w:abstractNumId w:val="16"/>
  </w:num>
  <w:num w:numId="13">
    <w:abstractNumId w:val="2"/>
  </w:num>
  <w:num w:numId="14">
    <w:abstractNumId w:val="13"/>
  </w:num>
  <w:num w:numId="15">
    <w:abstractNumId w:val="14"/>
  </w:num>
  <w:num w:numId="16">
    <w:abstractNumId w:val="6"/>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5"/>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9D2"/>
    <w:rsid w:val="00030CB8"/>
    <w:rsid w:val="00034AAF"/>
    <w:rsid w:val="00063E75"/>
    <w:rsid w:val="0006635D"/>
    <w:rsid w:val="000827C1"/>
    <w:rsid w:val="00091584"/>
    <w:rsid w:val="000932B7"/>
    <w:rsid w:val="00095502"/>
    <w:rsid w:val="000A1375"/>
    <w:rsid w:val="000B5206"/>
    <w:rsid w:val="000C14D3"/>
    <w:rsid w:val="000C1ADE"/>
    <w:rsid w:val="000D372E"/>
    <w:rsid w:val="000D410E"/>
    <w:rsid w:val="000D49A1"/>
    <w:rsid w:val="000D4F3C"/>
    <w:rsid w:val="00123532"/>
    <w:rsid w:val="00125676"/>
    <w:rsid w:val="00126E7B"/>
    <w:rsid w:val="00142A66"/>
    <w:rsid w:val="00155C75"/>
    <w:rsid w:val="001627BE"/>
    <w:rsid w:val="00165BCE"/>
    <w:rsid w:val="001760F4"/>
    <w:rsid w:val="0019702E"/>
    <w:rsid w:val="001B2D48"/>
    <w:rsid w:val="001C0BD4"/>
    <w:rsid w:val="001C4778"/>
    <w:rsid w:val="001C6A31"/>
    <w:rsid w:val="001D4450"/>
    <w:rsid w:val="001E1AFD"/>
    <w:rsid w:val="002034F6"/>
    <w:rsid w:val="00216115"/>
    <w:rsid w:val="002306CC"/>
    <w:rsid w:val="00236626"/>
    <w:rsid w:val="00236FF6"/>
    <w:rsid w:val="00262262"/>
    <w:rsid w:val="00263611"/>
    <w:rsid w:val="00271887"/>
    <w:rsid w:val="0027235F"/>
    <w:rsid w:val="00274704"/>
    <w:rsid w:val="0027750E"/>
    <w:rsid w:val="002776FB"/>
    <w:rsid w:val="0028058B"/>
    <w:rsid w:val="00280FF0"/>
    <w:rsid w:val="00296FEA"/>
    <w:rsid w:val="002C2889"/>
    <w:rsid w:val="002C2CF8"/>
    <w:rsid w:val="002E2CA6"/>
    <w:rsid w:val="002E3D86"/>
    <w:rsid w:val="002E6465"/>
    <w:rsid w:val="002E6BBE"/>
    <w:rsid w:val="002F27F8"/>
    <w:rsid w:val="00322F84"/>
    <w:rsid w:val="00327E18"/>
    <w:rsid w:val="003337FD"/>
    <w:rsid w:val="0034093C"/>
    <w:rsid w:val="0034697C"/>
    <w:rsid w:val="00350733"/>
    <w:rsid w:val="00367DF2"/>
    <w:rsid w:val="00383812"/>
    <w:rsid w:val="003A28AD"/>
    <w:rsid w:val="003B080B"/>
    <w:rsid w:val="003B13AF"/>
    <w:rsid w:val="003B36AE"/>
    <w:rsid w:val="003D3F4D"/>
    <w:rsid w:val="00413FF2"/>
    <w:rsid w:val="00422B94"/>
    <w:rsid w:val="00433130"/>
    <w:rsid w:val="0046108D"/>
    <w:rsid w:val="004A07FF"/>
    <w:rsid w:val="004B7707"/>
    <w:rsid w:val="004C1A4E"/>
    <w:rsid w:val="004E06A7"/>
    <w:rsid w:val="004E349F"/>
    <w:rsid w:val="004E4996"/>
    <w:rsid w:val="004E6098"/>
    <w:rsid w:val="004F564F"/>
    <w:rsid w:val="00501A59"/>
    <w:rsid w:val="005100DF"/>
    <w:rsid w:val="00515EB9"/>
    <w:rsid w:val="00517570"/>
    <w:rsid w:val="005464DA"/>
    <w:rsid w:val="00547703"/>
    <w:rsid w:val="00551CF4"/>
    <w:rsid w:val="00564EAF"/>
    <w:rsid w:val="005A4583"/>
    <w:rsid w:val="005C7E5A"/>
    <w:rsid w:val="005D3C46"/>
    <w:rsid w:val="005E155F"/>
    <w:rsid w:val="005F1D5F"/>
    <w:rsid w:val="005F4BBF"/>
    <w:rsid w:val="005F5BB6"/>
    <w:rsid w:val="00644766"/>
    <w:rsid w:val="00644A02"/>
    <w:rsid w:val="00655254"/>
    <w:rsid w:val="00661C02"/>
    <w:rsid w:val="006671EE"/>
    <w:rsid w:val="00670E7B"/>
    <w:rsid w:val="00672358"/>
    <w:rsid w:val="006763BA"/>
    <w:rsid w:val="006823D6"/>
    <w:rsid w:val="0069091C"/>
    <w:rsid w:val="00695B26"/>
    <w:rsid w:val="006A7A44"/>
    <w:rsid w:val="006B4948"/>
    <w:rsid w:val="006C0810"/>
    <w:rsid w:val="006C159C"/>
    <w:rsid w:val="006C5B0B"/>
    <w:rsid w:val="006E152D"/>
    <w:rsid w:val="006E2050"/>
    <w:rsid w:val="00711E73"/>
    <w:rsid w:val="00723A34"/>
    <w:rsid w:val="007568F0"/>
    <w:rsid w:val="0076629D"/>
    <w:rsid w:val="007860DD"/>
    <w:rsid w:val="00790FC6"/>
    <w:rsid w:val="007979E8"/>
    <w:rsid w:val="007B1892"/>
    <w:rsid w:val="007D4788"/>
    <w:rsid w:val="007E0A9F"/>
    <w:rsid w:val="007E7A31"/>
    <w:rsid w:val="007F33AD"/>
    <w:rsid w:val="007F595E"/>
    <w:rsid w:val="0080094D"/>
    <w:rsid w:val="008066DE"/>
    <w:rsid w:val="008075C0"/>
    <w:rsid w:val="008077F0"/>
    <w:rsid w:val="00823CE6"/>
    <w:rsid w:val="008313A0"/>
    <w:rsid w:val="00835784"/>
    <w:rsid w:val="00835849"/>
    <w:rsid w:val="00836439"/>
    <w:rsid w:val="0084737D"/>
    <w:rsid w:val="008504EB"/>
    <w:rsid w:val="0085180E"/>
    <w:rsid w:val="00876EDD"/>
    <w:rsid w:val="0089273C"/>
    <w:rsid w:val="008A74DD"/>
    <w:rsid w:val="008B2791"/>
    <w:rsid w:val="008B4343"/>
    <w:rsid w:val="008C4C21"/>
    <w:rsid w:val="008C4C35"/>
    <w:rsid w:val="008E48CE"/>
    <w:rsid w:val="00903586"/>
    <w:rsid w:val="009229D2"/>
    <w:rsid w:val="009308EE"/>
    <w:rsid w:val="009804E2"/>
    <w:rsid w:val="009D71F5"/>
    <w:rsid w:val="00A01E10"/>
    <w:rsid w:val="00A21D05"/>
    <w:rsid w:val="00A30288"/>
    <w:rsid w:val="00A3040F"/>
    <w:rsid w:val="00A37FDF"/>
    <w:rsid w:val="00A471C7"/>
    <w:rsid w:val="00A85418"/>
    <w:rsid w:val="00A860F8"/>
    <w:rsid w:val="00A93C5D"/>
    <w:rsid w:val="00A94C13"/>
    <w:rsid w:val="00AB7937"/>
    <w:rsid w:val="00AE74A3"/>
    <w:rsid w:val="00B26F5D"/>
    <w:rsid w:val="00B54814"/>
    <w:rsid w:val="00B579AD"/>
    <w:rsid w:val="00B80171"/>
    <w:rsid w:val="00B87C1D"/>
    <w:rsid w:val="00BB0F68"/>
    <w:rsid w:val="00BB3850"/>
    <w:rsid w:val="00BB4026"/>
    <w:rsid w:val="00BE6ECA"/>
    <w:rsid w:val="00BF2EE0"/>
    <w:rsid w:val="00BF78EC"/>
    <w:rsid w:val="00C04088"/>
    <w:rsid w:val="00C230E1"/>
    <w:rsid w:val="00C24A2E"/>
    <w:rsid w:val="00C42181"/>
    <w:rsid w:val="00C60DB1"/>
    <w:rsid w:val="00C82CE1"/>
    <w:rsid w:val="00C87C67"/>
    <w:rsid w:val="00C936A4"/>
    <w:rsid w:val="00C97268"/>
    <w:rsid w:val="00CB3F55"/>
    <w:rsid w:val="00CB7F70"/>
    <w:rsid w:val="00CF3A91"/>
    <w:rsid w:val="00D23B8E"/>
    <w:rsid w:val="00D2499A"/>
    <w:rsid w:val="00D27C05"/>
    <w:rsid w:val="00D322B8"/>
    <w:rsid w:val="00D32E1C"/>
    <w:rsid w:val="00D375BB"/>
    <w:rsid w:val="00D46F73"/>
    <w:rsid w:val="00D7234C"/>
    <w:rsid w:val="00DA1736"/>
    <w:rsid w:val="00DC10A7"/>
    <w:rsid w:val="00DD2C33"/>
    <w:rsid w:val="00DD4314"/>
    <w:rsid w:val="00DD5A0C"/>
    <w:rsid w:val="00DE1851"/>
    <w:rsid w:val="00DF0EEF"/>
    <w:rsid w:val="00DF5226"/>
    <w:rsid w:val="00E1371B"/>
    <w:rsid w:val="00E303C1"/>
    <w:rsid w:val="00E304F0"/>
    <w:rsid w:val="00E40631"/>
    <w:rsid w:val="00E42F88"/>
    <w:rsid w:val="00E5022A"/>
    <w:rsid w:val="00E6011A"/>
    <w:rsid w:val="00E84F84"/>
    <w:rsid w:val="00E910CF"/>
    <w:rsid w:val="00ED617C"/>
    <w:rsid w:val="00F21917"/>
    <w:rsid w:val="00F36908"/>
    <w:rsid w:val="00F514F7"/>
    <w:rsid w:val="00F527DA"/>
    <w:rsid w:val="00F5728B"/>
    <w:rsid w:val="00F6492E"/>
    <w:rsid w:val="00F737B6"/>
    <w:rsid w:val="00F80F53"/>
    <w:rsid w:val="00F81A87"/>
    <w:rsid w:val="00F8481E"/>
    <w:rsid w:val="00FA5E0B"/>
    <w:rsid w:val="00FB38F3"/>
    <w:rsid w:val="00FB6C5F"/>
    <w:rsid w:val="00FB6E36"/>
    <w:rsid w:val="00FC1C92"/>
    <w:rsid w:val="00FF6B90"/>
  </w:rsids>
  <m:mathPr>
    <m:mathFont m:val="Cambria Math"/>
    <m:brkBin m:val="before"/>
    <m:brkBinSub m:val="--"/>
    <m:smallFrac m:val="0"/>
    <m:dispDef/>
    <m:lMargin m:val="0"/>
    <m:rMargin m:val="0"/>
    <m:defJc m:val="centerGroup"/>
    <m:wrapIndent m:val="1440"/>
    <m:intLim m:val="subSup"/>
    <m:naryLim m:val="undOvr"/>
  </m:mathPr>
  <w:themeFontLang w:val="pl-PL" w:eastAsia="pl-P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F5A849"/>
  <w15:chartTrackingRefBased/>
  <w15:docId w15:val="{05AEDD4D-AF00-4A03-9C77-2897D241C4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9229D2"/>
    <w:rPr>
      <w:rFonts w:eastAsiaTheme="minorEastAsia"/>
      <w:lang w:val="en-GB" w:eastAsia="zh-CN"/>
    </w:rPr>
  </w:style>
  <w:style w:type="paragraph" w:styleId="Nagwek1">
    <w:name w:val="heading 1"/>
    <w:basedOn w:val="Normalny"/>
    <w:link w:val="Nagwek1Znak"/>
    <w:uiPriority w:val="9"/>
    <w:qFormat/>
    <w:rsid w:val="003337FD"/>
    <w:pPr>
      <w:spacing w:before="100" w:beforeAutospacing="1" w:after="100" w:afterAutospacing="1" w:line="240" w:lineRule="auto"/>
      <w:outlineLvl w:val="0"/>
    </w:pPr>
    <w:rPr>
      <w:rFonts w:ascii="Times New Roman" w:eastAsia="Times New Roman" w:hAnsi="Times New Roman" w:cs="Times New Roman"/>
      <w:b/>
      <w:bCs/>
      <w:kern w:val="36"/>
      <w:sz w:val="48"/>
      <w:szCs w:val="48"/>
      <w:lang w:val="pl-PL"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9229D2"/>
    <w:pPr>
      <w:ind w:left="720"/>
      <w:contextualSpacing/>
    </w:pPr>
  </w:style>
  <w:style w:type="paragraph" w:styleId="Tekstdymka">
    <w:name w:val="Balloon Text"/>
    <w:basedOn w:val="Normalny"/>
    <w:link w:val="TekstdymkaZnak"/>
    <w:uiPriority w:val="99"/>
    <w:semiHidden/>
    <w:unhideWhenUsed/>
    <w:rsid w:val="005F4BBF"/>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F4BBF"/>
    <w:rPr>
      <w:rFonts w:ascii="Segoe UI" w:eastAsiaTheme="minorEastAsia" w:hAnsi="Segoe UI" w:cs="Segoe UI"/>
      <w:sz w:val="18"/>
      <w:szCs w:val="18"/>
      <w:lang w:val="en-GB" w:eastAsia="zh-CN"/>
    </w:rPr>
  </w:style>
  <w:style w:type="character" w:styleId="Hipercze">
    <w:name w:val="Hyperlink"/>
    <w:basedOn w:val="Domylnaczcionkaakapitu"/>
    <w:uiPriority w:val="99"/>
    <w:semiHidden/>
    <w:unhideWhenUsed/>
    <w:rsid w:val="007F33AD"/>
    <w:rPr>
      <w:color w:val="0000FF"/>
      <w:u w:val="single"/>
    </w:rPr>
  </w:style>
  <w:style w:type="paragraph" w:styleId="Tekstprzypisukocowego">
    <w:name w:val="endnote text"/>
    <w:basedOn w:val="Normalny"/>
    <w:link w:val="TekstprzypisukocowegoZnak"/>
    <w:uiPriority w:val="99"/>
    <w:semiHidden/>
    <w:unhideWhenUsed/>
    <w:rsid w:val="00D322B8"/>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D322B8"/>
    <w:rPr>
      <w:rFonts w:eastAsiaTheme="minorEastAsia"/>
      <w:sz w:val="20"/>
      <w:szCs w:val="20"/>
      <w:lang w:val="en-GB" w:eastAsia="zh-CN"/>
    </w:rPr>
  </w:style>
  <w:style w:type="character" w:styleId="Odwoanieprzypisukocowego">
    <w:name w:val="endnote reference"/>
    <w:basedOn w:val="Domylnaczcionkaakapitu"/>
    <w:uiPriority w:val="99"/>
    <w:semiHidden/>
    <w:unhideWhenUsed/>
    <w:rsid w:val="00D322B8"/>
    <w:rPr>
      <w:vertAlign w:val="superscript"/>
    </w:rPr>
  </w:style>
  <w:style w:type="paragraph" w:styleId="Legenda">
    <w:name w:val="caption"/>
    <w:basedOn w:val="Normalny"/>
    <w:next w:val="Normalny"/>
    <w:uiPriority w:val="35"/>
    <w:unhideWhenUsed/>
    <w:qFormat/>
    <w:rsid w:val="00D322B8"/>
    <w:pPr>
      <w:spacing w:after="200" w:line="240" w:lineRule="auto"/>
    </w:pPr>
    <w:rPr>
      <w:i/>
      <w:iCs/>
      <w:color w:val="44546A" w:themeColor="text2"/>
      <w:sz w:val="18"/>
      <w:szCs w:val="18"/>
    </w:rPr>
  </w:style>
  <w:style w:type="character" w:styleId="UyteHipercze">
    <w:name w:val="FollowedHyperlink"/>
    <w:basedOn w:val="Domylnaczcionkaakapitu"/>
    <w:uiPriority w:val="99"/>
    <w:semiHidden/>
    <w:unhideWhenUsed/>
    <w:rsid w:val="00A21D05"/>
    <w:rPr>
      <w:color w:val="954F72" w:themeColor="followedHyperlink"/>
      <w:u w:val="single"/>
    </w:rPr>
  </w:style>
  <w:style w:type="paragraph" w:styleId="Tekstprzypisudolnego">
    <w:name w:val="footnote text"/>
    <w:basedOn w:val="Normalny"/>
    <w:link w:val="TekstprzypisudolnegoZnak"/>
    <w:uiPriority w:val="99"/>
    <w:semiHidden/>
    <w:unhideWhenUsed/>
    <w:rsid w:val="006B4948"/>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6B4948"/>
    <w:rPr>
      <w:rFonts w:eastAsiaTheme="minorEastAsia"/>
      <w:sz w:val="20"/>
      <w:szCs w:val="20"/>
      <w:lang w:val="en-GB" w:eastAsia="zh-CN"/>
    </w:rPr>
  </w:style>
  <w:style w:type="character" w:styleId="Odwoanieprzypisudolnego">
    <w:name w:val="footnote reference"/>
    <w:basedOn w:val="Domylnaczcionkaakapitu"/>
    <w:uiPriority w:val="99"/>
    <w:semiHidden/>
    <w:unhideWhenUsed/>
    <w:rsid w:val="006B4948"/>
    <w:rPr>
      <w:vertAlign w:val="superscript"/>
    </w:rPr>
  </w:style>
  <w:style w:type="character" w:customStyle="1" w:styleId="Nagwek1Znak">
    <w:name w:val="Nagłówek 1 Znak"/>
    <w:basedOn w:val="Domylnaczcionkaakapitu"/>
    <w:link w:val="Nagwek1"/>
    <w:uiPriority w:val="9"/>
    <w:rsid w:val="003337FD"/>
    <w:rPr>
      <w:rFonts w:ascii="Times New Roman" w:eastAsia="Times New Roman" w:hAnsi="Times New Roman" w:cs="Times New Roman"/>
      <w:b/>
      <w:bCs/>
      <w:kern w:val="36"/>
      <w:sz w:val="48"/>
      <w:szCs w:val="48"/>
      <w:lang w:eastAsia="pl-PL"/>
    </w:rPr>
  </w:style>
  <w:style w:type="paragraph" w:styleId="NormalnyWeb">
    <w:name w:val="Normal (Web)"/>
    <w:basedOn w:val="Normalny"/>
    <w:uiPriority w:val="99"/>
    <w:semiHidden/>
    <w:unhideWhenUsed/>
    <w:rsid w:val="003337FD"/>
    <w:pPr>
      <w:spacing w:before="100" w:beforeAutospacing="1" w:after="100" w:afterAutospacing="1" w:line="240" w:lineRule="auto"/>
    </w:pPr>
    <w:rPr>
      <w:rFonts w:ascii="Times New Roman" w:eastAsia="Times New Roman" w:hAnsi="Times New Roman" w:cs="Times New Roman"/>
      <w:sz w:val="24"/>
      <w:szCs w:val="24"/>
      <w:lang w:val="pl-PL" w:eastAsia="pl-PL"/>
    </w:rPr>
  </w:style>
  <w:style w:type="paragraph" w:styleId="Nagwek">
    <w:name w:val="header"/>
    <w:basedOn w:val="Normalny"/>
    <w:link w:val="NagwekZnak"/>
    <w:uiPriority w:val="99"/>
    <w:unhideWhenUsed/>
    <w:rsid w:val="00FB6E3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B6E36"/>
    <w:rPr>
      <w:rFonts w:eastAsiaTheme="minorEastAsia"/>
      <w:lang w:val="en-GB" w:eastAsia="zh-CN"/>
    </w:rPr>
  </w:style>
  <w:style w:type="paragraph" w:styleId="Stopka">
    <w:name w:val="footer"/>
    <w:basedOn w:val="Normalny"/>
    <w:link w:val="StopkaZnak"/>
    <w:uiPriority w:val="99"/>
    <w:unhideWhenUsed/>
    <w:rsid w:val="00FB6E3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B6E36"/>
    <w:rPr>
      <w:rFonts w:eastAsiaTheme="minorEastAsia"/>
      <w:lang w:val="en-GB" w:eastAsia="zh-CN"/>
    </w:rPr>
  </w:style>
  <w:style w:type="table" w:styleId="Tabela-Siatka">
    <w:name w:val="Table Grid"/>
    <w:basedOn w:val="Standardowy"/>
    <w:uiPriority w:val="39"/>
    <w:rsid w:val="001B2D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listy3akcent1">
    <w:name w:val="List Table 3 Accent 1"/>
    <w:basedOn w:val="Standardowy"/>
    <w:uiPriority w:val="48"/>
    <w:rsid w:val="001B2D48"/>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Tabelalisty3akcent5">
    <w:name w:val="List Table 3 Accent 5"/>
    <w:basedOn w:val="Standardowy"/>
    <w:uiPriority w:val="48"/>
    <w:rsid w:val="001B2D48"/>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Tabelalisty4akcent5">
    <w:name w:val="List Table 4 Accent 5"/>
    <w:basedOn w:val="Standardowy"/>
    <w:uiPriority w:val="49"/>
    <w:rsid w:val="001B2D48"/>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54485">
      <w:bodyDiv w:val="1"/>
      <w:marLeft w:val="0"/>
      <w:marRight w:val="0"/>
      <w:marTop w:val="0"/>
      <w:marBottom w:val="0"/>
      <w:divBdr>
        <w:top w:val="none" w:sz="0" w:space="0" w:color="auto"/>
        <w:left w:val="none" w:sz="0" w:space="0" w:color="auto"/>
        <w:bottom w:val="none" w:sz="0" w:space="0" w:color="auto"/>
        <w:right w:val="none" w:sz="0" w:space="0" w:color="auto"/>
      </w:divBdr>
    </w:div>
    <w:div w:id="26834354">
      <w:bodyDiv w:val="1"/>
      <w:marLeft w:val="0"/>
      <w:marRight w:val="0"/>
      <w:marTop w:val="0"/>
      <w:marBottom w:val="0"/>
      <w:divBdr>
        <w:top w:val="none" w:sz="0" w:space="0" w:color="auto"/>
        <w:left w:val="none" w:sz="0" w:space="0" w:color="auto"/>
        <w:bottom w:val="none" w:sz="0" w:space="0" w:color="auto"/>
        <w:right w:val="none" w:sz="0" w:space="0" w:color="auto"/>
      </w:divBdr>
    </w:div>
    <w:div w:id="49429122">
      <w:bodyDiv w:val="1"/>
      <w:marLeft w:val="0"/>
      <w:marRight w:val="0"/>
      <w:marTop w:val="0"/>
      <w:marBottom w:val="0"/>
      <w:divBdr>
        <w:top w:val="none" w:sz="0" w:space="0" w:color="auto"/>
        <w:left w:val="none" w:sz="0" w:space="0" w:color="auto"/>
        <w:bottom w:val="none" w:sz="0" w:space="0" w:color="auto"/>
        <w:right w:val="none" w:sz="0" w:space="0" w:color="auto"/>
      </w:divBdr>
    </w:div>
    <w:div w:id="162012014">
      <w:bodyDiv w:val="1"/>
      <w:marLeft w:val="0"/>
      <w:marRight w:val="0"/>
      <w:marTop w:val="0"/>
      <w:marBottom w:val="0"/>
      <w:divBdr>
        <w:top w:val="none" w:sz="0" w:space="0" w:color="auto"/>
        <w:left w:val="none" w:sz="0" w:space="0" w:color="auto"/>
        <w:bottom w:val="none" w:sz="0" w:space="0" w:color="auto"/>
        <w:right w:val="none" w:sz="0" w:space="0" w:color="auto"/>
      </w:divBdr>
    </w:div>
    <w:div w:id="245845249">
      <w:bodyDiv w:val="1"/>
      <w:marLeft w:val="0"/>
      <w:marRight w:val="0"/>
      <w:marTop w:val="0"/>
      <w:marBottom w:val="0"/>
      <w:divBdr>
        <w:top w:val="none" w:sz="0" w:space="0" w:color="auto"/>
        <w:left w:val="none" w:sz="0" w:space="0" w:color="auto"/>
        <w:bottom w:val="none" w:sz="0" w:space="0" w:color="auto"/>
        <w:right w:val="none" w:sz="0" w:space="0" w:color="auto"/>
      </w:divBdr>
    </w:div>
    <w:div w:id="441919841">
      <w:bodyDiv w:val="1"/>
      <w:marLeft w:val="0"/>
      <w:marRight w:val="0"/>
      <w:marTop w:val="0"/>
      <w:marBottom w:val="0"/>
      <w:divBdr>
        <w:top w:val="none" w:sz="0" w:space="0" w:color="auto"/>
        <w:left w:val="none" w:sz="0" w:space="0" w:color="auto"/>
        <w:bottom w:val="none" w:sz="0" w:space="0" w:color="auto"/>
        <w:right w:val="none" w:sz="0" w:space="0" w:color="auto"/>
      </w:divBdr>
    </w:div>
    <w:div w:id="452940914">
      <w:bodyDiv w:val="1"/>
      <w:marLeft w:val="0"/>
      <w:marRight w:val="0"/>
      <w:marTop w:val="0"/>
      <w:marBottom w:val="0"/>
      <w:divBdr>
        <w:top w:val="none" w:sz="0" w:space="0" w:color="auto"/>
        <w:left w:val="none" w:sz="0" w:space="0" w:color="auto"/>
        <w:bottom w:val="none" w:sz="0" w:space="0" w:color="auto"/>
        <w:right w:val="none" w:sz="0" w:space="0" w:color="auto"/>
      </w:divBdr>
    </w:div>
    <w:div w:id="573200605">
      <w:bodyDiv w:val="1"/>
      <w:marLeft w:val="0"/>
      <w:marRight w:val="0"/>
      <w:marTop w:val="0"/>
      <w:marBottom w:val="0"/>
      <w:divBdr>
        <w:top w:val="none" w:sz="0" w:space="0" w:color="auto"/>
        <w:left w:val="none" w:sz="0" w:space="0" w:color="auto"/>
        <w:bottom w:val="none" w:sz="0" w:space="0" w:color="auto"/>
        <w:right w:val="none" w:sz="0" w:space="0" w:color="auto"/>
      </w:divBdr>
    </w:div>
    <w:div w:id="604121857">
      <w:bodyDiv w:val="1"/>
      <w:marLeft w:val="0"/>
      <w:marRight w:val="0"/>
      <w:marTop w:val="0"/>
      <w:marBottom w:val="0"/>
      <w:divBdr>
        <w:top w:val="none" w:sz="0" w:space="0" w:color="auto"/>
        <w:left w:val="none" w:sz="0" w:space="0" w:color="auto"/>
        <w:bottom w:val="none" w:sz="0" w:space="0" w:color="auto"/>
        <w:right w:val="none" w:sz="0" w:space="0" w:color="auto"/>
      </w:divBdr>
    </w:div>
    <w:div w:id="621038426">
      <w:bodyDiv w:val="1"/>
      <w:marLeft w:val="0"/>
      <w:marRight w:val="0"/>
      <w:marTop w:val="0"/>
      <w:marBottom w:val="0"/>
      <w:divBdr>
        <w:top w:val="none" w:sz="0" w:space="0" w:color="auto"/>
        <w:left w:val="none" w:sz="0" w:space="0" w:color="auto"/>
        <w:bottom w:val="none" w:sz="0" w:space="0" w:color="auto"/>
        <w:right w:val="none" w:sz="0" w:space="0" w:color="auto"/>
      </w:divBdr>
    </w:div>
    <w:div w:id="737366793">
      <w:bodyDiv w:val="1"/>
      <w:marLeft w:val="0"/>
      <w:marRight w:val="0"/>
      <w:marTop w:val="0"/>
      <w:marBottom w:val="0"/>
      <w:divBdr>
        <w:top w:val="none" w:sz="0" w:space="0" w:color="auto"/>
        <w:left w:val="none" w:sz="0" w:space="0" w:color="auto"/>
        <w:bottom w:val="none" w:sz="0" w:space="0" w:color="auto"/>
        <w:right w:val="none" w:sz="0" w:space="0" w:color="auto"/>
      </w:divBdr>
    </w:div>
    <w:div w:id="769274810">
      <w:bodyDiv w:val="1"/>
      <w:marLeft w:val="0"/>
      <w:marRight w:val="0"/>
      <w:marTop w:val="0"/>
      <w:marBottom w:val="0"/>
      <w:divBdr>
        <w:top w:val="none" w:sz="0" w:space="0" w:color="auto"/>
        <w:left w:val="none" w:sz="0" w:space="0" w:color="auto"/>
        <w:bottom w:val="none" w:sz="0" w:space="0" w:color="auto"/>
        <w:right w:val="none" w:sz="0" w:space="0" w:color="auto"/>
      </w:divBdr>
    </w:div>
    <w:div w:id="843402183">
      <w:bodyDiv w:val="1"/>
      <w:marLeft w:val="0"/>
      <w:marRight w:val="0"/>
      <w:marTop w:val="0"/>
      <w:marBottom w:val="0"/>
      <w:divBdr>
        <w:top w:val="none" w:sz="0" w:space="0" w:color="auto"/>
        <w:left w:val="none" w:sz="0" w:space="0" w:color="auto"/>
        <w:bottom w:val="none" w:sz="0" w:space="0" w:color="auto"/>
        <w:right w:val="none" w:sz="0" w:space="0" w:color="auto"/>
      </w:divBdr>
    </w:div>
    <w:div w:id="1006979390">
      <w:bodyDiv w:val="1"/>
      <w:marLeft w:val="0"/>
      <w:marRight w:val="0"/>
      <w:marTop w:val="0"/>
      <w:marBottom w:val="0"/>
      <w:divBdr>
        <w:top w:val="none" w:sz="0" w:space="0" w:color="auto"/>
        <w:left w:val="none" w:sz="0" w:space="0" w:color="auto"/>
        <w:bottom w:val="none" w:sz="0" w:space="0" w:color="auto"/>
        <w:right w:val="none" w:sz="0" w:space="0" w:color="auto"/>
      </w:divBdr>
    </w:div>
    <w:div w:id="1210915848">
      <w:bodyDiv w:val="1"/>
      <w:marLeft w:val="0"/>
      <w:marRight w:val="0"/>
      <w:marTop w:val="0"/>
      <w:marBottom w:val="0"/>
      <w:divBdr>
        <w:top w:val="none" w:sz="0" w:space="0" w:color="auto"/>
        <w:left w:val="none" w:sz="0" w:space="0" w:color="auto"/>
        <w:bottom w:val="none" w:sz="0" w:space="0" w:color="auto"/>
        <w:right w:val="none" w:sz="0" w:space="0" w:color="auto"/>
      </w:divBdr>
    </w:div>
    <w:div w:id="1325547526">
      <w:bodyDiv w:val="1"/>
      <w:marLeft w:val="0"/>
      <w:marRight w:val="0"/>
      <w:marTop w:val="0"/>
      <w:marBottom w:val="0"/>
      <w:divBdr>
        <w:top w:val="none" w:sz="0" w:space="0" w:color="auto"/>
        <w:left w:val="none" w:sz="0" w:space="0" w:color="auto"/>
        <w:bottom w:val="none" w:sz="0" w:space="0" w:color="auto"/>
        <w:right w:val="none" w:sz="0" w:space="0" w:color="auto"/>
      </w:divBdr>
    </w:div>
    <w:div w:id="1366560369">
      <w:bodyDiv w:val="1"/>
      <w:marLeft w:val="0"/>
      <w:marRight w:val="0"/>
      <w:marTop w:val="0"/>
      <w:marBottom w:val="0"/>
      <w:divBdr>
        <w:top w:val="none" w:sz="0" w:space="0" w:color="auto"/>
        <w:left w:val="none" w:sz="0" w:space="0" w:color="auto"/>
        <w:bottom w:val="none" w:sz="0" w:space="0" w:color="auto"/>
        <w:right w:val="none" w:sz="0" w:space="0" w:color="auto"/>
      </w:divBdr>
    </w:div>
    <w:div w:id="1514802164">
      <w:bodyDiv w:val="1"/>
      <w:marLeft w:val="0"/>
      <w:marRight w:val="0"/>
      <w:marTop w:val="0"/>
      <w:marBottom w:val="0"/>
      <w:divBdr>
        <w:top w:val="none" w:sz="0" w:space="0" w:color="auto"/>
        <w:left w:val="none" w:sz="0" w:space="0" w:color="auto"/>
        <w:bottom w:val="none" w:sz="0" w:space="0" w:color="auto"/>
        <w:right w:val="none" w:sz="0" w:space="0" w:color="auto"/>
      </w:divBdr>
    </w:div>
    <w:div w:id="1628318152">
      <w:bodyDiv w:val="1"/>
      <w:marLeft w:val="0"/>
      <w:marRight w:val="0"/>
      <w:marTop w:val="0"/>
      <w:marBottom w:val="0"/>
      <w:divBdr>
        <w:top w:val="none" w:sz="0" w:space="0" w:color="auto"/>
        <w:left w:val="none" w:sz="0" w:space="0" w:color="auto"/>
        <w:bottom w:val="none" w:sz="0" w:space="0" w:color="auto"/>
        <w:right w:val="none" w:sz="0" w:space="0" w:color="auto"/>
      </w:divBdr>
    </w:div>
    <w:div w:id="1713651045">
      <w:bodyDiv w:val="1"/>
      <w:marLeft w:val="0"/>
      <w:marRight w:val="0"/>
      <w:marTop w:val="0"/>
      <w:marBottom w:val="0"/>
      <w:divBdr>
        <w:top w:val="none" w:sz="0" w:space="0" w:color="auto"/>
        <w:left w:val="none" w:sz="0" w:space="0" w:color="auto"/>
        <w:bottom w:val="none" w:sz="0" w:space="0" w:color="auto"/>
        <w:right w:val="none" w:sz="0" w:space="0" w:color="auto"/>
      </w:divBdr>
    </w:div>
    <w:div w:id="1719013339">
      <w:bodyDiv w:val="1"/>
      <w:marLeft w:val="0"/>
      <w:marRight w:val="0"/>
      <w:marTop w:val="0"/>
      <w:marBottom w:val="0"/>
      <w:divBdr>
        <w:top w:val="none" w:sz="0" w:space="0" w:color="auto"/>
        <w:left w:val="none" w:sz="0" w:space="0" w:color="auto"/>
        <w:bottom w:val="none" w:sz="0" w:space="0" w:color="auto"/>
        <w:right w:val="none" w:sz="0" w:space="0" w:color="auto"/>
      </w:divBdr>
    </w:div>
    <w:div w:id="1734043198">
      <w:bodyDiv w:val="1"/>
      <w:marLeft w:val="0"/>
      <w:marRight w:val="0"/>
      <w:marTop w:val="0"/>
      <w:marBottom w:val="0"/>
      <w:divBdr>
        <w:top w:val="none" w:sz="0" w:space="0" w:color="auto"/>
        <w:left w:val="none" w:sz="0" w:space="0" w:color="auto"/>
        <w:bottom w:val="none" w:sz="0" w:space="0" w:color="auto"/>
        <w:right w:val="none" w:sz="0" w:space="0" w:color="auto"/>
      </w:divBdr>
    </w:div>
    <w:div w:id="1793673539">
      <w:bodyDiv w:val="1"/>
      <w:marLeft w:val="0"/>
      <w:marRight w:val="0"/>
      <w:marTop w:val="0"/>
      <w:marBottom w:val="0"/>
      <w:divBdr>
        <w:top w:val="none" w:sz="0" w:space="0" w:color="auto"/>
        <w:left w:val="none" w:sz="0" w:space="0" w:color="auto"/>
        <w:bottom w:val="none" w:sz="0" w:space="0" w:color="auto"/>
        <w:right w:val="none" w:sz="0" w:space="0" w:color="auto"/>
      </w:divBdr>
    </w:div>
    <w:div w:id="2023429708">
      <w:bodyDiv w:val="1"/>
      <w:marLeft w:val="0"/>
      <w:marRight w:val="0"/>
      <w:marTop w:val="0"/>
      <w:marBottom w:val="0"/>
      <w:divBdr>
        <w:top w:val="none" w:sz="0" w:space="0" w:color="auto"/>
        <w:left w:val="none" w:sz="0" w:space="0" w:color="auto"/>
        <w:bottom w:val="none" w:sz="0" w:space="0" w:color="auto"/>
        <w:right w:val="none" w:sz="0" w:space="0" w:color="auto"/>
      </w:divBdr>
    </w:div>
    <w:div w:id="2146652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hydropower.org/statusreport" TargetMode="External"/><Relationship Id="rId18" Type="http://schemas.openxmlformats.org/officeDocument/2006/relationships/hyperlink" Target="https://www.irena.org/Statistics/View-Data-by-Topic/Finance-and-Investment/Investment-Trends" TargetMode="External"/><Relationship Id="rId26" Type="http://schemas.openxmlformats.org/officeDocument/2006/relationships/hyperlink" Target="https://ourworldindata.org/renewable-energy" TargetMode="External"/><Relationship Id="rId39" Type="http://schemas.openxmlformats.org/officeDocument/2006/relationships/hyperlink" Target="https://sustainabledevelopment.un.org/?menu=1300" TargetMode="External"/><Relationship Id="rId21" Type="http://schemas.openxmlformats.org/officeDocument/2006/relationships/hyperlink" Target="https://ourworldindata.org/grapher/solar-pv-prices" TargetMode="External"/><Relationship Id="rId34" Type="http://schemas.openxmlformats.org/officeDocument/2006/relationships/chart" Target="charts/chart11.xml"/><Relationship Id="rId42" Type="http://schemas.openxmlformats.org/officeDocument/2006/relationships/hyperlink" Target="https://www.ga-institute.com/press-releases/article/flash-report-85-of-sp-500-indexR-companies-publish-sustainability-reports-in-2017.html" TargetMode="External"/><Relationship Id="rId47" Type="http://schemas.openxmlformats.org/officeDocument/2006/relationships/hyperlink" Target="https://www.morganstanley.com/ideas/sustainable-investing-growing-interest-and-adoption" TargetMode="External"/><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chart" Target="charts/chart5.xml"/><Relationship Id="rId29" Type="http://schemas.openxmlformats.org/officeDocument/2006/relationships/hyperlink" Target="https://ourworldindata.org/grapher/plastic-waste-by-sector" TargetMode="External"/><Relationship Id="rId11" Type="http://schemas.openxmlformats.org/officeDocument/2006/relationships/chart" Target="charts/chart3.xml"/><Relationship Id="rId24" Type="http://schemas.openxmlformats.org/officeDocument/2006/relationships/hyperlink" Target="https://ourworldindata.org/renewable-energy" TargetMode="External"/><Relationship Id="rId32" Type="http://schemas.openxmlformats.org/officeDocument/2006/relationships/hyperlink" Target="https://www.weforum.org/agenda/2017/12/germany-recycles-more-than-any-other-country/" TargetMode="External"/><Relationship Id="rId37" Type="http://schemas.openxmlformats.org/officeDocument/2006/relationships/image" Target="media/image3.png"/><Relationship Id="rId40" Type="http://schemas.openxmlformats.org/officeDocument/2006/relationships/chart" Target="charts/chart12.xml"/><Relationship Id="rId45" Type="http://schemas.openxmlformats.org/officeDocument/2006/relationships/chart" Target="charts/chart13.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hyperlink" Target="https://ourworldindata.org/renewable-energy" TargetMode="External"/><Relationship Id="rId28" Type="http://schemas.openxmlformats.org/officeDocument/2006/relationships/chart" Target="charts/chart9.xml"/><Relationship Id="rId36" Type="http://schemas.openxmlformats.org/officeDocument/2006/relationships/hyperlink" Target="https://earthobservatory.nasa.gov/features/GlobalWarming/page2.php" TargetMode="External"/><Relationship Id="rId49" Type="http://schemas.openxmlformats.org/officeDocument/2006/relationships/footer" Target="footer1.xml"/><Relationship Id="rId10" Type="http://schemas.openxmlformats.org/officeDocument/2006/relationships/image" Target="media/image1.emf"/><Relationship Id="rId19" Type="http://schemas.openxmlformats.org/officeDocument/2006/relationships/chart" Target="charts/chart6.xml"/><Relationship Id="rId31" Type="http://schemas.openxmlformats.org/officeDocument/2006/relationships/chart" Target="charts/chart10.xml"/><Relationship Id="rId44" Type="http://schemas.openxmlformats.org/officeDocument/2006/relationships/hyperlink" Target="https://www.ussif.org/sribasics" TargetMode="Externa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hyperlink" Target="https://www.hydropower.org/statusreport" TargetMode="External"/><Relationship Id="rId22" Type="http://schemas.openxmlformats.org/officeDocument/2006/relationships/chart" Target="charts/chart7.xml"/><Relationship Id="rId27" Type="http://schemas.openxmlformats.org/officeDocument/2006/relationships/hyperlink" Target="https://ourworldindata.org/renewable-energy" TargetMode="External"/><Relationship Id="rId30" Type="http://schemas.openxmlformats.org/officeDocument/2006/relationships/hyperlink" Target="https://ourworldindata.org/grapher/plastic-waste-by-sector" TargetMode="External"/><Relationship Id="rId35" Type="http://schemas.openxmlformats.org/officeDocument/2006/relationships/hyperlink" Target="https://earthobservatory.nasa.gov/features/GlobalWarming/page2.php" TargetMode="External"/><Relationship Id="rId43" Type="http://schemas.openxmlformats.org/officeDocument/2006/relationships/hyperlink" Target="https://www.ussif.org/sribasics" TargetMode="External"/><Relationship Id="rId48" Type="http://schemas.openxmlformats.org/officeDocument/2006/relationships/header" Target="header1.xml"/><Relationship Id="rId8" Type="http://schemas.openxmlformats.org/officeDocument/2006/relationships/chart" Target="charts/chart1.xml"/><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chart" Target="charts/chart4.xml"/><Relationship Id="rId17" Type="http://schemas.openxmlformats.org/officeDocument/2006/relationships/hyperlink" Target="https://www.irena.org/Statistics/View-Data-by-Topic/Finance-and-Investment/Investment-Trends" TargetMode="External"/><Relationship Id="rId25" Type="http://schemas.openxmlformats.org/officeDocument/2006/relationships/chart" Target="charts/chart8.xml"/><Relationship Id="rId33" Type="http://schemas.openxmlformats.org/officeDocument/2006/relationships/hyperlink" Target="https://www.weforum.org/agenda/2017/12/germany-recycles-more-than-any-other-country/" TargetMode="External"/><Relationship Id="rId38" Type="http://schemas.openxmlformats.org/officeDocument/2006/relationships/hyperlink" Target="https://sustainabledevelopment.un.org/?menu=1300" TargetMode="External"/><Relationship Id="rId46" Type="http://schemas.openxmlformats.org/officeDocument/2006/relationships/hyperlink" Target="https://www.morganstanley.com/ideas/sustainable-investing-growing-interest-and-adoption" TargetMode="External"/><Relationship Id="rId20" Type="http://schemas.openxmlformats.org/officeDocument/2006/relationships/hyperlink" Target="https://ourworldindata.org/grapher/solar-pv-prices" TargetMode="External"/><Relationship Id="rId41" Type="http://schemas.openxmlformats.org/officeDocument/2006/relationships/hyperlink" Target="https://www.ga-institute.com/press-releases/article/flash-report-85-of-sp-500-indexR-companies-publish-sustainability-reports-in-2017.html" TargetMode="External"/><Relationship Id="rId1" Type="http://schemas.openxmlformats.org/officeDocument/2006/relationships/customXml" Target="../customXml/item1.xml"/><Relationship Id="rId6" Type="http://schemas.openxmlformats.org/officeDocument/2006/relationships/footnotes" Target="footnotes.xml"/></Relationships>
</file>

<file path=word/_rels/footer1.xml.rels><?xml version="1.0" encoding="UTF-8" standalone="yes"?>
<Relationships xmlns="http://schemas.openxmlformats.org/package/2006/relationships"><Relationship Id="rId1" Type="http://schemas.openxmlformats.org/officeDocument/2006/relationships/image" Target="media/image6.jpeg"/></Relationships>
</file>

<file path=word/_rels/footnotes.xml.rels><?xml version="1.0" encoding="UTF-8" standalone="yes"?>
<Relationships xmlns="http://schemas.openxmlformats.org/package/2006/relationships"><Relationship Id="rId8" Type="http://schemas.openxmlformats.org/officeDocument/2006/relationships/hyperlink" Target="https://www.unwater.org/water-facts/water-food-and-energy/" TargetMode="External"/><Relationship Id="rId13" Type="http://schemas.openxmlformats.org/officeDocument/2006/relationships/hyperlink" Target="https://hbr.org/2019/07/the-elusive-green-consumer" TargetMode="External"/><Relationship Id="rId3" Type="http://schemas.openxmlformats.org/officeDocument/2006/relationships/hyperlink" Target="https://www.irena.org/en/bioenergy" TargetMode="External"/><Relationship Id="rId7" Type="http://schemas.openxmlformats.org/officeDocument/2006/relationships/hyperlink" Target="https://www.morganstanley.com/ideas/the-worlds-water-crisis-and-industries-at-risk" TargetMode="External"/><Relationship Id="rId12" Type="http://schemas.openxmlformats.org/officeDocument/2006/relationships/hyperlink" Target="https://www.morganstanley.com/ideas/sustainable-investing-growing-interest-and-adoption" TargetMode="External"/><Relationship Id="rId2" Type="http://schemas.openxmlformats.org/officeDocument/2006/relationships/hyperlink" Target="https://www.irena.org/solar" TargetMode="External"/><Relationship Id="rId1" Type="http://schemas.openxmlformats.org/officeDocument/2006/relationships/hyperlink" Target="https://www.energy.gov/science-innovation/energy-sources/renewable-energy/solar" TargetMode="External"/><Relationship Id="rId6" Type="http://schemas.openxmlformats.org/officeDocument/2006/relationships/hyperlink" Target="https://cosmosmagazine.com/society/global-plastic-waste-totals-4-9-billion-tonnes" TargetMode="External"/><Relationship Id="rId11" Type="http://schemas.openxmlformats.org/officeDocument/2006/relationships/hyperlink" Target="https://www.stern.nyu.edu/experience-stern/about/departments-centers-initiatives/centers-of-research/center-sustainable-business/research/csb-monetization-methodology" TargetMode="External"/><Relationship Id="rId5" Type="http://schemas.openxmlformats.org/officeDocument/2006/relationships/hyperlink" Target="https://www.energy.gov/eere/geothermal/geothermal-basics" TargetMode="External"/><Relationship Id="rId10" Type="http://schemas.openxmlformats.org/officeDocument/2006/relationships/hyperlink" Target="https://en.wikipedia.org/wiki/Efficient_energy_use" TargetMode="External"/><Relationship Id="rId4" Type="http://schemas.openxmlformats.org/officeDocument/2006/relationships/hyperlink" Target="https://www.thebalance.com/what-is-bioenergy-2941107" TargetMode="External"/><Relationship Id="rId9" Type="http://schemas.openxmlformats.org/officeDocument/2006/relationships/hyperlink" Target="http://definedelectric.com/efficient-energy-use/"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charts/_rels/chart1.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oleObject" Target="file:///C:\Users\tomas\Desktop\Eco%20charts.xlsx" TargetMode="External"/><Relationship Id="rId2" Type="http://schemas.microsoft.com/office/2011/relationships/chartColorStyle" Target="colors10.xml"/><Relationship Id="rId1" Type="http://schemas.microsoft.com/office/2011/relationships/chartStyle" Target="style10.xml"/></Relationships>
</file>

<file path=word/charts/_rels/chart11.xml.rels><?xml version="1.0" encoding="UTF-8" standalone="yes"?>
<Relationships xmlns="http://schemas.openxmlformats.org/package/2006/relationships"><Relationship Id="rId3" Type="http://schemas.openxmlformats.org/officeDocument/2006/relationships/oleObject" Target="file:///C:\Users\tomas\Downloads\temperature-anomaly.csv" TargetMode="External"/><Relationship Id="rId2" Type="http://schemas.microsoft.com/office/2011/relationships/chartColorStyle" Target="colors11.xml"/><Relationship Id="rId1" Type="http://schemas.microsoft.com/office/2011/relationships/chartStyle" Target="style11.xml"/></Relationships>
</file>

<file path=word/charts/_rels/chart12.xml.rels><?xml version="1.0" encoding="UTF-8" standalone="yes"?>
<Relationships xmlns="http://schemas.openxmlformats.org/package/2006/relationships"><Relationship Id="rId3" Type="http://schemas.openxmlformats.org/officeDocument/2006/relationships/oleObject" Target="file:///C:\Users\tomas\Desktop\Eco%20charts.xlsx" TargetMode="External"/><Relationship Id="rId2" Type="http://schemas.microsoft.com/office/2011/relationships/chartColorStyle" Target="colors12.xml"/><Relationship Id="rId1" Type="http://schemas.microsoft.com/office/2011/relationships/chartStyle" Target="style12.xml"/></Relationships>
</file>

<file path=word/charts/_rels/chart13.xml.rels><?xml version="1.0" encoding="UTF-8" standalone="yes"?>
<Relationships xmlns="http://schemas.openxmlformats.org/package/2006/relationships"><Relationship Id="rId3" Type="http://schemas.openxmlformats.org/officeDocument/2006/relationships/oleObject" Target="file:///C:\Users\tomas\Desktop\Eco%20charts.xlsx" TargetMode="External"/><Relationship Id="rId2" Type="http://schemas.microsoft.com/office/2011/relationships/chartColorStyle" Target="colors13.xml"/><Relationship Id="rId1" Type="http://schemas.microsoft.com/office/2011/relationships/chartStyle" Target="style13.xml"/></Relationships>
</file>

<file path=word/charts/_rels/chart2.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tomas\Desktop\Eco%20charts.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C:\Users\tomas\Desktop\Eco%20charts.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C:\Users\tomas\Downloads\solar-pv-prices.csv"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C:\Users\tomas\Downloads\RE_Investment_Trends_2019%20(1).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file:///C:\Users\tomas\Downloads\biofuel-production.csv"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oleObject" Target="file:///C:\Users\tomas\Downloads\installed-geothermal-capacity.csv" TargetMode="External"/><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oleObject" Target="file:///C:\Users\tomas\Desktop\Eco%20charts.xlsx" TargetMode="External"/><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pl-PL" sz="1400" b="1"/>
              <a:t>Zielona ekonomia w sektorach</a:t>
            </a:r>
            <a:endParaRPr lang="en-US" sz="1400" b="1"/>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pl-PL"/>
        </a:p>
      </c:txPr>
    </c:title>
    <c:autoTitleDeleted val="0"/>
    <c:plotArea>
      <c:layout>
        <c:manualLayout>
          <c:layoutTarget val="inner"/>
          <c:xMode val="edge"/>
          <c:yMode val="edge"/>
          <c:x val="0.50533442694663167"/>
          <c:y val="0.17840206799204095"/>
          <c:w val="0.32544247594050746"/>
          <c:h val="0.50608765157055147"/>
        </c:manualLayout>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E3B4-4769-A39F-49911DCA3171}"/>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E3B4-4769-A39F-49911DCA3171}"/>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E3B4-4769-A39F-49911DCA3171}"/>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07-E3B4-4769-A39F-49911DCA3171}"/>
              </c:ext>
            </c:extLst>
          </c:dPt>
          <c:dPt>
            <c:idx val="4"/>
            <c:bubble3D val="0"/>
            <c:spPr>
              <a:solidFill>
                <a:schemeClr val="accent5"/>
              </a:solidFill>
              <a:ln w="19050">
                <a:solidFill>
                  <a:schemeClr val="lt1"/>
                </a:solidFill>
              </a:ln>
              <a:effectLst/>
            </c:spPr>
            <c:extLst>
              <c:ext xmlns:c16="http://schemas.microsoft.com/office/drawing/2014/chart" uri="{C3380CC4-5D6E-409C-BE32-E72D297353CC}">
                <c16:uniqueId val="{00000009-E3B4-4769-A39F-49911DCA3171}"/>
              </c:ext>
            </c:extLst>
          </c:dPt>
          <c:dPt>
            <c:idx val="5"/>
            <c:bubble3D val="0"/>
            <c:spPr>
              <a:solidFill>
                <a:schemeClr val="accent6"/>
              </a:solidFill>
              <a:ln w="19050">
                <a:solidFill>
                  <a:schemeClr val="lt1"/>
                </a:solidFill>
              </a:ln>
              <a:effectLst/>
            </c:spPr>
            <c:extLst>
              <c:ext xmlns:c16="http://schemas.microsoft.com/office/drawing/2014/chart" uri="{C3380CC4-5D6E-409C-BE32-E72D297353CC}">
                <c16:uniqueId val="{0000000B-E3B4-4769-A39F-49911DCA3171}"/>
              </c:ext>
            </c:extLst>
          </c:dPt>
          <c:dPt>
            <c:idx val="6"/>
            <c:bubble3D val="0"/>
            <c:spPr>
              <a:solidFill>
                <a:schemeClr val="accent1">
                  <a:lumMod val="60000"/>
                </a:schemeClr>
              </a:solidFill>
              <a:ln w="19050">
                <a:solidFill>
                  <a:schemeClr val="lt1"/>
                </a:solidFill>
              </a:ln>
              <a:effectLst/>
            </c:spPr>
            <c:extLst>
              <c:ext xmlns:c16="http://schemas.microsoft.com/office/drawing/2014/chart" uri="{C3380CC4-5D6E-409C-BE32-E72D297353CC}">
                <c16:uniqueId val="{0000000D-E3B4-4769-A39F-49911DCA3171}"/>
              </c:ext>
            </c:extLst>
          </c:dPt>
          <c:dPt>
            <c:idx val="7"/>
            <c:bubble3D val="0"/>
            <c:spPr>
              <a:solidFill>
                <a:schemeClr val="accent2">
                  <a:lumMod val="60000"/>
                </a:schemeClr>
              </a:solidFill>
              <a:ln w="19050">
                <a:solidFill>
                  <a:schemeClr val="lt1"/>
                </a:solidFill>
              </a:ln>
              <a:effectLst/>
            </c:spPr>
            <c:extLst>
              <c:ext xmlns:c16="http://schemas.microsoft.com/office/drawing/2014/chart" uri="{C3380CC4-5D6E-409C-BE32-E72D297353CC}">
                <c16:uniqueId val="{0000000F-E3B4-4769-A39F-49911DCA3171}"/>
              </c:ext>
            </c:extLst>
          </c:dPt>
          <c:dPt>
            <c:idx val="8"/>
            <c:bubble3D val="0"/>
            <c:spPr>
              <a:solidFill>
                <a:schemeClr val="accent3">
                  <a:lumMod val="60000"/>
                </a:schemeClr>
              </a:solidFill>
              <a:ln w="19050">
                <a:solidFill>
                  <a:schemeClr val="lt1"/>
                </a:solidFill>
              </a:ln>
              <a:effectLst/>
            </c:spPr>
            <c:extLst>
              <c:ext xmlns:c16="http://schemas.microsoft.com/office/drawing/2014/chart" uri="{C3380CC4-5D6E-409C-BE32-E72D297353CC}">
                <c16:uniqueId val="{00000011-E3B4-4769-A39F-49911DCA3171}"/>
              </c:ext>
            </c:extLst>
          </c:dPt>
          <c:dPt>
            <c:idx val="9"/>
            <c:bubble3D val="0"/>
            <c:spPr>
              <a:solidFill>
                <a:schemeClr val="accent4">
                  <a:lumMod val="60000"/>
                </a:schemeClr>
              </a:solidFill>
              <a:ln w="19050">
                <a:solidFill>
                  <a:schemeClr val="lt1"/>
                </a:solidFill>
              </a:ln>
              <a:effectLst/>
            </c:spPr>
            <c:extLst>
              <c:ext xmlns:c16="http://schemas.microsoft.com/office/drawing/2014/chart" uri="{C3380CC4-5D6E-409C-BE32-E72D297353CC}">
                <c16:uniqueId val="{00000013-E3B4-4769-A39F-49911DCA3171}"/>
              </c:ext>
            </c:extLst>
          </c:dPt>
          <c:dPt>
            <c:idx val="10"/>
            <c:bubble3D val="0"/>
            <c:spPr>
              <a:solidFill>
                <a:schemeClr val="accent5">
                  <a:lumMod val="60000"/>
                </a:schemeClr>
              </a:solidFill>
              <a:ln w="19050">
                <a:solidFill>
                  <a:schemeClr val="lt1"/>
                </a:solidFill>
              </a:ln>
              <a:effectLst/>
            </c:spPr>
            <c:extLst>
              <c:ext xmlns:c16="http://schemas.microsoft.com/office/drawing/2014/chart" uri="{C3380CC4-5D6E-409C-BE32-E72D297353CC}">
                <c16:uniqueId val="{00000015-E3B4-4769-A39F-49911DCA3171}"/>
              </c:ext>
            </c:extLst>
          </c:dPt>
          <c:dLbls>
            <c:dLbl>
              <c:idx val="10"/>
              <c:layout>
                <c:manualLayout>
                  <c:x val="5.0280293088363952E-2"/>
                  <c:y val="-1.4019213368500086E-3"/>
                </c:manualLayout>
              </c:layout>
              <c:dLblPos val="bestFi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5-E3B4-4769-A39F-49911DCA3171}"/>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dLblPos val="bestFit"/>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Sheet1!$A$2:$A$12</c:f>
              <c:strCache>
                <c:ptCount val="11"/>
                <c:pt idx="0">
                  <c:v>Energy management &amp; efficiency</c:v>
                </c:pt>
                <c:pt idx="1">
                  <c:v>Energy generation</c:v>
                </c:pt>
                <c:pt idx="2">
                  <c:v>Food &amp; agriculture</c:v>
                </c:pt>
                <c:pt idx="3">
                  <c:v>Transport equipment</c:v>
                </c:pt>
                <c:pt idx="4">
                  <c:v>Water Infrastructure &amp; technology</c:v>
                </c:pt>
                <c:pt idx="5">
                  <c:v>Energy equipment</c:v>
                </c:pt>
                <c:pt idx="6">
                  <c:v>Waste management &amp; technology</c:v>
                </c:pt>
                <c:pt idx="7">
                  <c:v>Environmental resources</c:v>
                </c:pt>
                <c:pt idx="8">
                  <c:v>Transport solutions</c:v>
                </c:pt>
                <c:pt idx="9">
                  <c:v>Pollution control &amp; prevention</c:v>
                </c:pt>
                <c:pt idx="10">
                  <c:v>Enviornmental support &amp; services</c:v>
                </c:pt>
              </c:strCache>
            </c:strRef>
          </c:cat>
          <c:val>
            <c:numRef>
              <c:f>Sheet1!$B$2:$B$12</c:f>
              <c:numCache>
                <c:formatCode>0%</c:formatCode>
                <c:ptCount val="11"/>
                <c:pt idx="0">
                  <c:v>0.4</c:v>
                </c:pt>
                <c:pt idx="1">
                  <c:v>0.11</c:v>
                </c:pt>
                <c:pt idx="2">
                  <c:v>0.08</c:v>
                </c:pt>
                <c:pt idx="3">
                  <c:v>0.08</c:v>
                </c:pt>
                <c:pt idx="4">
                  <c:v>7.0000000000000007E-2</c:v>
                </c:pt>
                <c:pt idx="5">
                  <c:v>0.06</c:v>
                </c:pt>
                <c:pt idx="6">
                  <c:v>0.05</c:v>
                </c:pt>
                <c:pt idx="7">
                  <c:v>0.05</c:v>
                </c:pt>
                <c:pt idx="8">
                  <c:v>0.04</c:v>
                </c:pt>
                <c:pt idx="9">
                  <c:v>0.03</c:v>
                </c:pt>
                <c:pt idx="10">
                  <c:v>0.02</c:v>
                </c:pt>
              </c:numCache>
            </c:numRef>
          </c:val>
          <c:extLst>
            <c:ext xmlns:c16="http://schemas.microsoft.com/office/drawing/2014/chart" uri="{C3380CC4-5D6E-409C-BE32-E72D297353CC}">
              <c16:uniqueId val="{00000016-E3B4-4769-A39F-49911DCA3171}"/>
            </c:ext>
          </c:extLst>
        </c:ser>
        <c:dLbls>
          <c:showLegendKey val="0"/>
          <c:showVal val="0"/>
          <c:showCatName val="0"/>
          <c:showSerName val="0"/>
          <c:showPercent val="0"/>
          <c:showBubbleSize val="0"/>
          <c:showLeaderLines val="1"/>
        </c:dLbls>
        <c:firstSliceAng val="0"/>
      </c:pieChart>
      <c:spPr>
        <a:noFill/>
        <a:ln>
          <a:noFill/>
        </a:ln>
        <a:effectLst/>
      </c:spPr>
    </c:plotArea>
    <c:legend>
      <c:legendPos val="b"/>
      <c:layout>
        <c:manualLayout>
          <c:xMode val="edge"/>
          <c:yMode val="edge"/>
          <c:x val="7.0078740157480304E-3"/>
          <c:y val="0.15010493018826213"/>
          <c:w val="0.4165398075240595"/>
          <c:h val="0.68142854713355216"/>
        </c:manualLayout>
      </c:layout>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pl-PL"/>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pl-PL" b="1"/>
              <a:t>10 najlepszych krajów we wskaźniku</a:t>
            </a:r>
            <a:r>
              <a:rPr lang="pl-PL" b="1" baseline="0"/>
              <a:t> recyklingu</a:t>
            </a:r>
            <a:r>
              <a:rPr lang="pl-PL" b="1"/>
              <a:t>,</a:t>
            </a:r>
            <a:r>
              <a:rPr lang="pl-PL" b="1" baseline="0"/>
              <a:t> 2017</a:t>
            </a:r>
            <a:endParaRPr lang="en-GB" b="1"/>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pl-PL"/>
        </a:p>
      </c:txPr>
    </c:title>
    <c:autoTitleDeleted val="0"/>
    <c:plotArea>
      <c:layout/>
      <c:barChart>
        <c:barDir val="col"/>
        <c:grouping val="clustered"/>
        <c:varyColors val="0"/>
        <c:ser>
          <c:idx val="0"/>
          <c:order val="0"/>
          <c:spPr>
            <a:solidFill>
              <a:srgbClr val="00B0F0"/>
            </a:solidFill>
            <a:ln>
              <a:noFill/>
            </a:ln>
            <a:effectLst/>
          </c:spPr>
          <c:invertIfNegative val="0"/>
          <c:cat>
            <c:strRef>
              <c:f>Sheet8!$A$2:$A$11</c:f>
              <c:strCache>
                <c:ptCount val="10"/>
                <c:pt idx="0">
                  <c:v>Germany</c:v>
                </c:pt>
                <c:pt idx="1">
                  <c:v>Austria</c:v>
                </c:pt>
                <c:pt idx="2">
                  <c:v>South Korea</c:v>
                </c:pt>
                <c:pt idx="3">
                  <c:v>Wales</c:v>
                </c:pt>
                <c:pt idx="4">
                  <c:v>Switzerland</c:v>
                </c:pt>
                <c:pt idx="5">
                  <c:v>Italy</c:v>
                </c:pt>
                <c:pt idx="6">
                  <c:v>Belgium</c:v>
                </c:pt>
                <c:pt idx="7">
                  <c:v>Netherlands</c:v>
                </c:pt>
                <c:pt idx="8">
                  <c:v>Slovenia</c:v>
                </c:pt>
                <c:pt idx="9">
                  <c:v>Singapore</c:v>
                </c:pt>
              </c:strCache>
            </c:strRef>
          </c:cat>
          <c:val>
            <c:numRef>
              <c:f>Sheet8!$B$2:$B$11</c:f>
              <c:numCache>
                <c:formatCode>0.00%</c:formatCode>
                <c:ptCount val="10"/>
                <c:pt idx="0">
                  <c:v>0.56100000000000005</c:v>
                </c:pt>
                <c:pt idx="1">
                  <c:v>0.53800000000000003</c:v>
                </c:pt>
                <c:pt idx="2">
                  <c:v>0.53700000000000003</c:v>
                </c:pt>
                <c:pt idx="3">
                  <c:v>0.52200000000000002</c:v>
                </c:pt>
                <c:pt idx="4">
                  <c:v>0.497</c:v>
                </c:pt>
                <c:pt idx="5">
                  <c:v>0.497</c:v>
                </c:pt>
                <c:pt idx="6">
                  <c:v>0.49399999999999999</c:v>
                </c:pt>
                <c:pt idx="7">
                  <c:v>0.46300000000000002</c:v>
                </c:pt>
                <c:pt idx="8">
                  <c:v>0.45800000000000002</c:v>
                </c:pt>
                <c:pt idx="9" formatCode="0%">
                  <c:v>0.34</c:v>
                </c:pt>
              </c:numCache>
            </c:numRef>
          </c:val>
          <c:extLst>
            <c:ext xmlns:c16="http://schemas.microsoft.com/office/drawing/2014/chart" uri="{C3380CC4-5D6E-409C-BE32-E72D297353CC}">
              <c16:uniqueId val="{00000000-E1A3-41BA-B13E-617632E1C60F}"/>
            </c:ext>
          </c:extLst>
        </c:ser>
        <c:dLbls>
          <c:showLegendKey val="0"/>
          <c:showVal val="0"/>
          <c:showCatName val="0"/>
          <c:showSerName val="0"/>
          <c:showPercent val="0"/>
          <c:showBubbleSize val="0"/>
        </c:dLbls>
        <c:gapWidth val="219"/>
        <c:overlap val="-27"/>
        <c:axId val="-1751063424"/>
        <c:axId val="-1751062880"/>
      </c:barChart>
      <c:catAx>
        <c:axId val="-175106342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1751062880"/>
        <c:crosses val="autoZero"/>
        <c:auto val="1"/>
        <c:lblAlgn val="ctr"/>
        <c:lblOffset val="100"/>
        <c:noMultiLvlLbl val="0"/>
      </c:catAx>
      <c:valAx>
        <c:axId val="-1751062880"/>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1751063424"/>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pl-PL" b="1"/>
              <a:t>Średnia</a:t>
            </a:r>
            <a:r>
              <a:rPr lang="pl-PL" b="1" baseline="0"/>
              <a:t> globalna temperatura powierzchni</a:t>
            </a:r>
            <a:endParaRPr lang="en-GB" b="1"/>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pl-PL"/>
        </a:p>
      </c:txPr>
    </c:title>
    <c:autoTitleDeleted val="0"/>
    <c:plotArea>
      <c:layout/>
      <c:lineChart>
        <c:grouping val="standard"/>
        <c:varyColors val="0"/>
        <c:ser>
          <c:idx val="0"/>
          <c:order val="0"/>
          <c:tx>
            <c:strRef>
              <c:f>'temperature-anomaly'!$I$1</c:f>
              <c:strCache>
                <c:ptCount val="1"/>
                <c:pt idx="0">
                  <c:v>Median</c:v>
                </c:pt>
              </c:strCache>
            </c:strRef>
          </c:tx>
          <c:spPr>
            <a:ln w="28575" cap="rnd">
              <a:solidFill>
                <a:schemeClr val="accent1"/>
              </a:solidFill>
              <a:round/>
            </a:ln>
            <a:effectLst/>
          </c:spPr>
          <c:marker>
            <c:symbol val="none"/>
          </c:marker>
          <c:cat>
            <c:numRef>
              <c:f>'temperature-anomaly'!$H$2:$H$120</c:f>
              <c:numCache>
                <c:formatCode>General</c:formatCode>
                <c:ptCount val="119"/>
                <c:pt idx="0">
                  <c:v>1900</c:v>
                </c:pt>
                <c:pt idx="1">
                  <c:v>1901</c:v>
                </c:pt>
                <c:pt idx="2">
                  <c:v>1902</c:v>
                </c:pt>
                <c:pt idx="3">
                  <c:v>1903</c:v>
                </c:pt>
                <c:pt idx="4">
                  <c:v>1904</c:v>
                </c:pt>
                <c:pt idx="5">
                  <c:v>1905</c:v>
                </c:pt>
                <c:pt idx="6">
                  <c:v>1906</c:v>
                </c:pt>
                <c:pt idx="7">
                  <c:v>1907</c:v>
                </c:pt>
                <c:pt idx="8">
                  <c:v>1908</c:v>
                </c:pt>
                <c:pt idx="9">
                  <c:v>1909</c:v>
                </c:pt>
                <c:pt idx="10">
                  <c:v>1910</c:v>
                </c:pt>
                <c:pt idx="11">
                  <c:v>1911</c:v>
                </c:pt>
                <c:pt idx="12">
                  <c:v>1912</c:v>
                </c:pt>
                <c:pt idx="13">
                  <c:v>1913</c:v>
                </c:pt>
                <c:pt idx="14">
                  <c:v>1914</c:v>
                </c:pt>
                <c:pt idx="15">
                  <c:v>1915</c:v>
                </c:pt>
                <c:pt idx="16">
                  <c:v>1916</c:v>
                </c:pt>
                <c:pt idx="17">
                  <c:v>1917</c:v>
                </c:pt>
                <c:pt idx="18">
                  <c:v>1918</c:v>
                </c:pt>
                <c:pt idx="19">
                  <c:v>1919</c:v>
                </c:pt>
                <c:pt idx="20">
                  <c:v>1920</c:v>
                </c:pt>
                <c:pt idx="21">
                  <c:v>1921</c:v>
                </c:pt>
                <c:pt idx="22">
                  <c:v>1922</c:v>
                </c:pt>
                <c:pt idx="23">
                  <c:v>1923</c:v>
                </c:pt>
                <c:pt idx="24">
                  <c:v>1924</c:v>
                </c:pt>
                <c:pt idx="25">
                  <c:v>1925</c:v>
                </c:pt>
                <c:pt idx="26">
                  <c:v>1926</c:v>
                </c:pt>
                <c:pt idx="27">
                  <c:v>1927</c:v>
                </c:pt>
                <c:pt idx="28">
                  <c:v>1928</c:v>
                </c:pt>
                <c:pt idx="29">
                  <c:v>1929</c:v>
                </c:pt>
                <c:pt idx="30">
                  <c:v>1930</c:v>
                </c:pt>
                <c:pt idx="31">
                  <c:v>1931</c:v>
                </c:pt>
                <c:pt idx="32">
                  <c:v>1932</c:v>
                </c:pt>
                <c:pt idx="33">
                  <c:v>1933</c:v>
                </c:pt>
                <c:pt idx="34">
                  <c:v>1934</c:v>
                </c:pt>
                <c:pt idx="35">
                  <c:v>1935</c:v>
                </c:pt>
                <c:pt idx="36">
                  <c:v>1936</c:v>
                </c:pt>
                <c:pt idx="37">
                  <c:v>1937</c:v>
                </c:pt>
                <c:pt idx="38">
                  <c:v>1938</c:v>
                </c:pt>
                <c:pt idx="39">
                  <c:v>1939</c:v>
                </c:pt>
                <c:pt idx="40">
                  <c:v>1940</c:v>
                </c:pt>
                <c:pt idx="41">
                  <c:v>1941</c:v>
                </c:pt>
                <c:pt idx="42">
                  <c:v>1942</c:v>
                </c:pt>
                <c:pt idx="43">
                  <c:v>1943</c:v>
                </c:pt>
                <c:pt idx="44">
                  <c:v>1944</c:v>
                </c:pt>
                <c:pt idx="45">
                  <c:v>1945</c:v>
                </c:pt>
                <c:pt idx="46">
                  <c:v>1946</c:v>
                </c:pt>
                <c:pt idx="47">
                  <c:v>1947</c:v>
                </c:pt>
                <c:pt idx="48">
                  <c:v>1948</c:v>
                </c:pt>
                <c:pt idx="49">
                  <c:v>1949</c:v>
                </c:pt>
                <c:pt idx="50">
                  <c:v>1950</c:v>
                </c:pt>
                <c:pt idx="51">
                  <c:v>1951</c:v>
                </c:pt>
                <c:pt idx="52">
                  <c:v>1952</c:v>
                </c:pt>
                <c:pt idx="53">
                  <c:v>1953</c:v>
                </c:pt>
                <c:pt idx="54">
                  <c:v>1954</c:v>
                </c:pt>
                <c:pt idx="55">
                  <c:v>1955</c:v>
                </c:pt>
                <c:pt idx="56">
                  <c:v>1956</c:v>
                </c:pt>
                <c:pt idx="57">
                  <c:v>1957</c:v>
                </c:pt>
                <c:pt idx="58">
                  <c:v>1958</c:v>
                </c:pt>
                <c:pt idx="59">
                  <c:v>1959</c:v>
                </c:pt>
                <c:pt idx="60">
                  <c:v>1960</c:v>
                </c:pt>
                <c:pt idx="61">
                  <c:v>1961</c:v>
                </c:pt>
                <c:pt idx="62">
                  <c:v>1962</c:v>
                </c:pt>
                <c:pt idx="63">
                  <c:v>1963</c:v>
                </c:pt>
                <c:pt idx="64">
                  <c:v>1964</c:v>
                </c:pt>
                <c:pt idx="65">
                  <c:v>1965</c:v>
                </c:pt>
                <c:pt idx="66">
                  <c:v>1966</c:v>
                </c:pt>
                <c:pt idx="67">
                  <c:v>1967</c:v>
                </c:pt>
                <c:pt idx="68">
                  <c:v>1968</c:v>
                </c:pt>
                <c:pt idx="69">
                  <c:v>1969</c:v>
                </c:pt>
                <c:pt idx="70">
                  <c:v>1970</c:v>
                </c:pt>
                <c:pt idx="71">
                  <c:v>1971</c:v>
                </c:pt>
                <c:pt idx="72">
                  <c:v>1972</c:v>
                </c:pt>
                <c:pt idx="73">
                  <c:v>1973</c:v>
                </c:pt>
                <c:pt idx="74">
                  <c:v>1974</c:v>
                </c:pt>
                <c:pt idx="75">
                  <c:v>1975</c:v>
                </c:pt>
                <c:pt idx="76">
                  <c:v>1976</c:v>
                </c:pt>
                <c:pt idx="77">
                  <c:v>1977</c:v>
                </c:pt>
                <c:pt idx="78">
                  <c:v>1978</c:v>
                </c:pt>
                <c:pt idx="79">
                  <c:v>1979</c:v>
                </c:pt>
                <c:pt idx="80">
                  <c:v>1980</c:v>
                </c:pt>
                <c:pt idx="81">
                  <c:v>1981</c:v>
                </c:pt>
                <c:pt idx="82">
                  <c:v>1982</c:v>
                </c:pt>
                <c:pt idx="83">
                  <c:v>1983</c:v>
                </c:pt>
                <c:pt idx="84">
                  <c:v>1984</c:v>
                </c:pt>
                <c:pt idx="85">
                  <c:v>1985</c:v>
                </c:pt>
                <c:pt idx="86">
                  <c:v>1986</c:v>
                </c:pt>
                <c:pt idx="87">
                  <c:v>1987</c:v>
                </c:pt>
                <c:pt idx="88">
                  <c:v>1988</c:v>
                </c:pt>
                <c:pt idx="89">
                  <c:v>1989</c:v>
                </c:pt>
                <c:pt idx="90">
                  <c:v>1990</c:v>
                </c:pt>
                <c:pt idx="91">
                  <c:v>1991</c:v>
                </c:pt>
                <c:pt idx="92">
                  <c:v>1992</c:v>
                </c:pt>
                <c:pt idx="93">
                  <c:v>1993</c:v>
                </c:pt>
                <c:pt idx="94">
                  <c:v>1994</c:v>
                </c:pt>
                <c:pt idx="95">
                  <c:v>1995</c:v>
                </c:pt>
                <c:pt idx="96">
                  <c:v>1996</c:v>
                </c:pt>
                <c:pt idx="97">
                  <c:v>1997</c:v>
                </c:pt>
                <c:pt idx="98">
                  <c:v>1998</c:v>
                </c:pt>
                <c:pt idx="99">
                  <c:v>1999</c:v>
                </c:pt>
                <c:pt idx="100">
                  <c:v>2000</c:v>
                </c:pt>
                <c:pt idx="101">
                  <c:v>2001</c:v>
                </c:pt>
                <c:pt idx="102">
                  <c:v>2002</c:v>
                </c:pt>
                <c:pt idx="103">
                  <c:v>2003</c:v>
                </c:pt>
                <c:pt idx="104">
                  <c:v>2004</c:v>
                </c:pt>
                <c:pt idx="105">
                  <c:v>2005</c:v>
                </c:pt>
                <c:pt idx="106">
                  <c:v>2006</c:v>
                </c:pt>
                <c:pt idx="107">
                  <c:v>2007</c:v>
                </c:pt>
                <c:pt idx="108">
                  <c:v>2008</c:v>
                </c:pt>
                <c:pt idx="109">
                  <c:v>2009</c:v>
                </c:pt>
                <c:pt idx="110">
                  <c:v>2010</c:v>
                </c:pt>
                <c:pt idx="111">
                  <c:v>2011</c:v>
                </c:pt>
                <c:pt idx="112">
                  <c:v>2012</c:v>
                </c:pt>
                <c:pt idx="113">
                  <c:v>2013</c:v>
                </c:pt>
                <c:pt idx="114">
                  <c:v>2014</c:v>
                </c:pt>
                <c:pt idx="115">
                  <c:v>2015</c:v>
                </c:pt>
                <c:pt idx="116">
                  <c:v>2016</c:v>
                </c:pt>
                <c:pt idx="117">
                  <c:v>2017</c:v>
                </c:pt>
                <c:pt idx="118">
                  <c:v>2018</c:v>
                </c:pt>
              </c:numCache>
            </c:numRef>
          </c:cat>
          <c:val>
            <c:numRef>
              <c:f>'temperature-anomaly'!$I$2:$I$120</c:f>
              <c:numCache>
                <c:formatCode>General</c:formatCode>
                <c:ptCount val="119"/>
                <c:pt idx="0">
                  <c:v>0.20300000000000001</c:v>
                </c:pt>
                <c:pt idx="1">
                  <c:v>0.25900000000000001</c:v>
                </c:pt>
                <c:pt idx="2">
                  <c:v>0.40200000000000002</c:v>
                </c:pt>
                <c:pt idx="3">
                  <c:v>0.47899999999999998</c:v>
                </c:pt>
                <c:pt idx="4">
                  <c:v>0.52</c:v>
                </c:pt>
                <c:pt idx="5">
                  <c:v>0.377</c:v>
                </c:pt>
                <c:pt idx="6">
                  <c:v>0.28299999999999997</c:v>
                </c:pt>
                <c:pt idx="7">
                  <c:v>0.46500000000000002</c:v>
                </c:pt>
                <c:pt idx="8">
                  <c:v>0.51100000000000001</c:v>
                </c:pt>
                <c:pt idx="9">
                  <c:v>0.52200000000000002</c:v>
                </c:pt>
                <c:pt idx="10">
                  <c:v>0.49</c:v>
                </c:pt>
                <c:pt idx="11">
                  <c:v>0.54400000000000004</c:v>
                </c:pt>
                <c:pt idx="12">
                  <c:v>0.437</c:v>
                </c:pt>
                <c:pt idx="13">
                  <c:v>0.42399999999999999</c:v>
                </c:pt>
                <c:pt idx="14">
                  <c:v>0.24399999999999999</c:v>
                </c:pt>
                <c:pt idx="15">
                  <c:v>0.14099999999999999</c:v>
                </c:pt>
                <c:pt idx="16">
                  <c:v>0.38300000000000001</c:v>
                </c:pt>
                <c:pt idx="17">
                  <c:v>0.46800000000000003</c:v>
                </c:pt>
                <c:pt idx="18">
                  <c:v>0.33300000000000002</c:v>
                </c:pt>
                <c:pt idx="19">
                  <c:v>0.27500000000000002</c:v>
                </c:pt>
                <c:pt idx="20">
                  <c:v>0.247</c:v>
                </c:pt>
                <c:pt idx="21">
                  <c:v>0.187</c:v>
                </c:pt>
                <c:pt idx="22">
                  <c:v>0.30199999999999999</c:v>
                </c:pt>
                <c:pt idx="23">
                  <c:v>0.27600000000000002</c:v>
                </c:pt>
                <c:pt idx="24">
                  <c:v>0.29399999999999998</c:v>
                </c:pt>
                <c:pt idx="25">
                  <c:v>0.215</c:v>
                </c:pt>
                <c:pt idx="26">
                  <c:v>0.108</c:v>
                </c:pt>
                <c:pt idx="27">
                  <c:v>0.21</c:v>
                </c:pt>
                <c:pt idx="28">
                  <c:v>0.20599999999999999</c:v>
                </c:pt>
                <c:pt idx="29">
                  <c:v>0.35</c:v>
                </c:pt>
                <c:pt idx="30">
                  <c:v>0.13700000000000001</c:v>
                </c:pt>
                <c:pt idx="31">
                  <c:v>8.6999999999999994E-2</c:v>
                </c:pt>
                <c:pt idx="32">
                  <c:v>0.13700000000000001</c:v>
                </c:pt>
                <c:pt idx="33">
                  <c:v>0.27300000000000002</c:v>
                </c:pt>
                <c:pt idx="34">
                  <c:v>0.13100000000000001</c:v>
                </c:pt>
                <c:pt idx="35">
                  <c:v>0.17799999999999999</c:v>
                </c:pt>
                <c:pt idx="36">
                  <c:v>0.14699999999999999</c:v>
                </c:pt>
                <c:pt idx="37">
                  <c:v>2.5999999999999999E-2</c:v>
                </c:pt>
                <c:pt idx="38">
                  <c:v>6.0000000000000001E-3</c:v>
                </c:pt>
                <c:pt idx="39">
                  <c:v>5.1999999999999998E-2</c:v>
                </c:pt>
                <c:pt idx="40">
                  <c:v>1.4E-2</c:v>
                </c:pt>
                <c:pt idx="41">
                  <c:v>0.02</c:v>
                </c:pt>
                <c:pt idx="42">
                  <c:v>2.7E-2</c:v>
                </c:pt>
                <c:pt idx="43">
                  <c:v>4.0000000000000001E-3</c:v>
                </c:pt>
                <c:pt idx="44">
                  <c:v>0.14399999999999999</c:v>
                </c:pt>
                <c:pt idx="45">
                  <c:v>2.5000000000000001E-2</c:v>
                </c:pt>
                <c:pt idx="46">
                  <c:v>7.0999999999999994E-2</c:v>
                </c:pt>
                <c:pt idx="47">
                  <c:v>3.7999999999999999E-2</c:v>
                </c:pt>
                <c:pt idx="48">
                  <c:v>3.9E-2</c:v>
                </c:pt>
                <c:pt idx="49">
                  <c:v>7.3999999999999996E-2</c:v>
                </c:pt>
                <c:pt idx="50">
                  <c:v>0.17299999999999999</c:v>
                </c:pt>
                <c:pt idx="51">
                  <c:v>5.1999999999999998E-2</c:v>
                </c:pt>
                <c:pt idx="52">
                  <c:v>2.8000000000000001E-2</c:v>
                </c:pt>
                <c:pt idx="53">
                  <c:v>9.7000000000000003E-2</c:v>
                </c:pt>
                <c:pt idx="54">
                  <c:v>0.129</c:v>
                </c:pt>
                <c:pt idx="55">
                  <c:v>0.19</c:v>
                </c:pt>
                <c:pt idx="56">
                  <c:v>0.26700000000000002</c:v>
                </c:pt>
                <c:pt idx="57">
                  <c:v>7.0000000000000001E-3</c:v>
                </c:pt>
                <c:pt idx="58">
                  <c:v>4.5999999999999999E-2</c:v>
                </c:pt>
                <c:pt idx="59">
                  <c:v>1.7000000000000001E-2</c:v>
                </c:pt>
                <c:pt idx="60">
                  <c:v>4.9000000000000002E-2</c:v>
                </c:pt>
                <c:pt idx="61">
                  <c:v>3.7999999999999999E-2</c:v>
                </c:pt>
                <c:pt idx="62">
                  <c:v>1.4E-2</c:v>
                </c:pt>
                <c:pt idx="63">
                  <c:v>4.8000000000000001E-2</c:v>
                </c:pt>
                <c:pt idx="64">
                  <c:v>0.223</c:v>
                </c:pt>
                <c:pt idx="65">
                  <c:v>0.14000000000000001</c:v>
                </c:pt>
                <c:pt idx="66">
                  <c:v>6.8000000000000005E-2</c:v>
                </c:pt>
                <c:pt idx="67">
                  <c:v>7.3999999999999996E-2</c:v>
                </c:pt>
                <c:pt idx="68">
                  <c:v>0.113</c:v>
                </c:pt>
                <c:pt idx="69">
                  <c:v>3.2000000000000001E-2</c:v>
                </c:pt>
                <c:pt idx="70">
                  <c:v>2.7E-2</c:v>
                </c:pt>
                <c:pt idx="71">
                  <c:v>0.186</c:v>
                </c:pt>
                <c:pt idx="72">
                  <c:v>6.5000000000000002E-2</c:v>
                </c:pt>
                <c:pt idx="73">
                  <c:v>6.2E-2</c:v>
                </c:pt>
                <c:pt idx="74">
                  <c:v>0.214</c:v>
                </c:pt>
                <c:pt idx="75">
                  <c:v>0.14899999999999999</c:v>
                </c:pt>
                <c:pt idx="76">
                  <c:v>0.24099999999999999</c:v>
                </c:pt>
                <c:pt idx="77">
                  <c:v>4.7E-2</c:v>
                </c:pt>
                <c:pt idx="78">
                  <c:v>6.2E-2</c:v>
                </c:pt>
                <c:pt idx="79">
                  <c:v>5.7000000000000002E-2</c:v>
                </c:pt>
                <c:pt idx="80">
                  <c:v>9.1999999999999998E-2</c:v>
                </c:pt>
                <c:pt idx="81">
                  <c:v>0.14000000000000001</c:v>
                </c:pt>
                <c:pt idx="82">
                  <c:v>1.0999999999999999E-2</c:v>
                </c:pt>
                <c:pt idx="83">
                  <c:v>0.19400000000000001</c:v>
                </c:pt>
                <c:pt idx="84">
                  <c:v>1.4E-2</c:v>
                </c:pt>
                <c:pt idx="85">
                  <c:v>0.03</c:v>
                </c:pt>
                <c:pt idx="86">
                  <c:v>4.4999999999999998E-2</c:v>
                </c:pt>
                <c:pt idx="87">
                  <c:v>0.192</c:v>
                </c:pt>
                <c:pt idx="88">
                  <c:v>0.19800000000000001</c:v>
                </c:pt>
                <c:pt idx="89">
                  <c:v>0.11799999999999999</c:v>
                </c:pt>
                <c:pt idx="90">
                  <c:v>0.29599999999999999</c:v>
                </c:pt>
                <c:pt idx="91">
                  <c:v>0.254</c:v>
                </c:pt>
                <c:pt idx="92">
                  <c:v>0.105</c:v>
                </c:pt>
                <c:pt idx="93">
                  <c:v>0.14799999999999999</c:v>
                </c:pt>
                <c:pt idx="94">
                  <c:v>0.20799999999999999</c:v>
                </c:pt>
                <c:pt idx="95">
                  <c:v>0.32500000000000001</c:v>
                </c:pt>
                <c:pt idx="96">
                  <c:v>0.183</c:v>
                </c:pt>
                <c:pt idx="97">
                  <c:v>0.39</c:v>
                </c:pt>
                <c:pt idx="98">
                  <c:v>0.53900000000000003</c:v>
                </c:pt>
                <c:pt idx="99">
                  <c:v>0.30599999999999999</c:v>
                </c:pt>
                <c:pt idx="100">
                  <c:v>0.29399999999999998</c:v>
                </c:pt>
                <c:pt idx="101">
                  <c:v>0.441</c:v>
                </c:pt>
                <c:pt idx="102">
                  <c:v>0.496</c:v>
                </c:pt>
                <c:pt idx="103">
                  <c:v>0.505</c:v>
                </c:pt>
                <c:pt idx="104">
                  <c:v>0.44700000000000001</c:v>
                </c:pt>
                <c:pt idx="105">
                  <c:v>0.54500000000000004</c:v>
                </c:pt>
                <c:pt idx="106">
                  <c:v>0.50600000000000001</c:v>
                </c:pt>
                <c:pt idx="107">
                  <c:v>0.49099999999999999</c:v>
                </c:pt>
                <c:pt idx="108">
                  <c:v>0.39500000000000002</c:v>
                </c:pt>
                <c:pt idx="109">
                  <c:v>0.50600000000000001</c:v>
                </c:pt>
                <c:pt idx="110">
                  <c:v>0.56000000000000005</c:v>
                </c:pt>
                <c:pt idx="111">
                  <c:v>0.42499999999999999</c:v>
                </c:pt>
                <c:pt idx="112">
                  <c:v>0.47</c:v>
                </c:pt>
                <c:pt idx="113">
                  <c:v>0.51400000000000001</c:v>
                </c:pt>
                <c:pt idx="114">
                  <c:v>0.57899999999999996</c:v>
                </c:pt>
                <c:pt idx="115">
                  <c:v>0.76300000000000001</c:v>
                </c:pt>
                <c:pt idx="116">
                  <c:v>0.79700000000000004</c:v>
                </c:pt>
                <c:pt idx="117">
                  <c:v>0.67700000000000005</c:v>
                </c:pt>
                <c:pt idx="118">
                  <c:v>0.59499999999999997</c:v>
                </c:pt>
              </c:numCache>
            </c:numRef>
          </c:val>
          <c:smooth val="0"/>
          <c:extLst>
            <c:ext xmlns:c16="http://schemas.microsoft.com/office/drawing/2014/chart" uri="{C3380CC4-5D6E-409C-BE32-E72D297353CC}">
              <c16:uniqueId val="{00000000-A154-4824-9375-B579DDCAC9B3}"/>
            </c:ext>
          </c:extLst>
        </c:ser>
        <c:ser>
          <c:idx val="1"/>
          <c:order val="1"/>
          <c:tx>
            <c:strRef>
              <c:f>'temperature-anomaly'!$J$1</c:f>
              <c:strCache>
                <c:ptCount val="1"/>
                <c:pt idx="0">
                  <c:v>Upper </c:v>
                </c:pt>
              </c:strCache>
            </c:strRef>
          </c:tx>
          <c:spPr>
            <a:ln w="12700" cap="rnd">
              <a:solidFill>
                <a:schemeClr val="accent2"/>
              </a:solidFill>
              <a:round/>
            </a:ln>
            <a:effectLst/>
          </c:spPr>
          <c:marker>
            <c:symbol val="none"/>
          </c:marker>
          <c:cat>
            <c:numRef>
              <c:f>'temperature-anomaly'!$H$2:$H$120</c:f>
              <c:numCache>
                <c:formatCode>General</c:formatCode>
                <c:ptCount val="119"/>
                <c:pt idx="0">
                  <c:v>1900</c:v>
                </c:pt>
                <c:pt idx="1">
                  <c:v>1901</c:v>
                </c:pt>
                <c:pt idx="2">
                  <c:v>1902</c:v>
                </c:pt>
                <c:pt idx="3">
                  <c:v>1903</c:v>
                </c:pt>
                <c:pt idx="4">
                  <c:v>1904</c:v>
                </c:pt>
                <c:pt idx="5">
                  <c:v>1905</c:v>
                </c:pt>
                <c:pt idx="6">
                  <c:v>1906</c:v>
                </c:pt>
                <c:pt idx="7">
                  <c:v>1907</c:v>
                </c:pt>
                <c:pt idx="8">
                  <c:v>1908</c:v>
                </c:pt>
                <c:pt idx="9">
                  <c:v>1909</c:v>
                </c:pt>
                <c:pt idx="10">
                  <c:v>1910</c:v>
                </c:pt>
                <c:pt idx="11">
                  <c:v>1911</c:v>
                </c:pt>
                <c:pt idx="12">
                  <c:v>1912</c:v>
                </c:pt>
                <c:pt idx="13">
                  <c:v>1913</c:v>
                </c:pt>
                <c:pt idx="14">
                  <c:v>1914</c:v>
                </c:pt>
                <c:pt idx="15">
                  <c:v>1915</c:v>
                </c:pt>
                <c:pt idx="16">
                  <c:v>1916</c:v>
                </c:pt>
                <c:pt idx="17">
                  <c:v>1917</c:v>
                </c:pt>
                <c:pt idx="18">
                  <c:v>1918</c:v>
                </c:pt>
                <c:pt idx="19">
                  <c:v>1919</c:v>
                </c:pt>
                <c:pt idx="20">
                  <c:v>1920</c:v>
                </c:pt>
                <c:pt idx="21">
                  <c:v>1921</c:v>
                </c:pt>
                <c:pt idx="22">
                  <c:v>1922</c:v>
                </c:pt>
                <c:pt idx="23">
                  <c:v>1923</c:v>
                </c:pt>
                <c:pt idx="24">
                  <c:v>1924</c:v>
                </c:pt>
                <c:pt idx="25">
                  <c:v>1925</c:v>
                </c:pt>
                <c:pt idx="26">
                  <c:v>1926</c:v>
                </c:pt>
                <c:pt idx="27">
                  <c:v>1927</c:v>
                </c:pt>
                <c:pt idx="28">
                  <c:v>1928</c:v>
                </c:pt>
                <c:pt idx="29">
                  <c:v>1929</c:v>
                </c:pt>
                <c:pt idx="30">
                  <c:v>1930</c:v>
                </c:pt>
                <c:pt idx="31">
                  <c:v>1931</c:v>
                </c:pt>
                <c:pt idx="32">
                  <c:v>1932</c:v>
                </c:pt>
                <c:pt idx="33">
                  <c:v>1933</c:v>
                </c:pt>
                <c:pt idx="34">
                  <c:v>1934</c:v>
                </c:pt>
                <c:pt idx="35">
                  <c:v>1935</c:v>
                </c:pt>
                <c:pt idx="36">
                  <c:v>1936</c:v>
                </c:pt>
                <c:pt idx="37">
                  <c:v>1937</c:v>
                </c:pt>
                <c:pt idx="38">
                  <c:v>1938</c:v>
                </c:pt>
                <c:pt idx="39">
                  <c:v>1939</c:v>
                </c:pt>
                <c:pt idx="40">
                  <c:v>1940</c:v>
                </c:pt>
                <c:pt idx="41">
                  <c:v>1941</c:v>
                </c:pt>
                <c:pt idx="42">
                  <c:v>1942</c:v>
                </c:pt>
                <c:pt idx="43">
                  <c:v>1943</c:v>
                </c:pt>
                <c:pt idx="44">
                  <c:v>1944</c:v>
                </c:pt>
                <c:pt idx="45">
                  <c:v>1945</c:v>
                </c:pt>
                <c:pt idx="46">
                  <c:v>1946</c:v>
                </c:pt>
                <c:pt idx="47">
                  <c:v>1947</c:v>
                </c:pt>
                <c:pt idx="48">
                  <c:v>1948</c:v>
                </c:pt>
                <c:pt idx="49">
                  <c:v>1949</c:v>
                </c:pt>
                <c:pt idx="50">
                  <c:v>1950</c:v>
                </c:pt>
                <c:pt idx="51">
                  <c:v>1951</c:v>
                </c:pt>
                <c:pt idx="52">
                  <c:v>1952</c:v>
                </c:pt>
                <c:pt idx="53">
                  <c:v>1953</c:v>
                </c:pt>
                <c:pt idx="54">
                  <c:v>1954</c:v>
                </c:pt>
                <c:pt idx="55">
                  <c:v>1955</c:v>
                </c:pt>
                <c:pt idx="56">
                  <c:v>1956</c:v>
                </c:pt>
                <c:pt idx="57">
                  <c:v>1957</c:v>
                </c:pt>
                <c:pt idx="58">
                  <c:v>1958</c:v>
                </c:pt>
                <c:pt idx="59">
                  <c:v>1959</c:v>
                </c:pt>
                <c:pt idx="60">
                  <c:v>1960</c:v>
                </c:pt>
                <c:pt idx="61">
                  <c:v>1961</c:v>
                </c:pt>
                <c:pt idx="62">
                  <c:v>1962</c:v>
                </c:pt>
                <c:pt idx="63">
                  <c:v>1963</c:v>
                </c:pt>
                <c:pt idx="64">
                  <c:v>1964</c:v>
                </c:pt>
                <c:pt idx="65">
                  <c:v>1965</c:v>
                </c:pt>
                <c:pt idx="66">
                  <c:v>1966</c:v>
                </c:pt>
                <c:pt idx="67">
                  <c:v>1967</c:v>
                </c:pt>
                <c:pt idx="68">
                  <c:v>1968</c:v>
                </c:pt>
                <c:pt idx="69">
                  <c:v>1969</c:v>
                </c:pt>
                <c:pt idx="70">
                  <c:v>1970</c:v>
                </c:pt>
                <c:pt idx="71">
                  <c:v>1971</c:v>
                </c:pt>
                <c:pt idx="72">
                  <c:v>1972</c:v>
                </c:pt>
                <c:pt idx="73">
                  <c:v>1973</c:v>
                </c:pt>
                <c:pt idx="74">
                  <c:v>1974</c:v>
                </c:pt>
                <c:pt idx="75">
                  <c:v>1975</c:v>
                </c:pt>
                <c:pt idx="76">
                  <c:v>1976</c:v>
                </c:pt>
                <c:pt idx="77">
                  <c:v>1977</c:v>
                </c:pt>
                <c:pt idx="78">
                  <c:v>1978</c:v>
                </c:pt>
                <c:pt idx="79">
                  <c:v>1979</c:v>
                </c:pt>
                <c:pt idx="80">
                  <c:v>1980</c:v>
                </c:pt>
                <c:pt idx="81">
                  <c:v>1981</c:v>
                </c:pt>
                <c:pt idx="82">
                  <c:v>1982</c:v>
                </c:pt>
                <c:pt idx="83">
                  <c:v>1983</c:v>
                </c:pt>
                <c:pt idx="84">
                  <c:v>1984</c:v>
                </c:pt>
                <c:pt idx="85">
                  <c:v>1985</c:v>
                </c:pt>
                <c:pt idx="86">
                  <c:v>1986</c:v>
                </c:pt>
                <c:pt idx="87">
                  <c:v>1987</c:v>
                </c:pt>
                <c:pt idx="88">
                  <c:v>1988</c:v>
                </c:pt>
                <c:pt idx="89">
                  <c:v>1989</c:v>
                </c:pt>
                <c:pt idx="90">
                  <c:v>1990</c:v>
                </c:pt>
                <c:pt idx="91">
                  <c:v>1991</c:v>
                </c:pt>
                <c:pt idx="92">
                  <c:v>1992</c:v>
                </c:pt>
                <c:pt idx="93">
                  <c:v>1993</c:v>
                </c:pt>
                <c:pt idx="94">
                  <c:v>1994</c:v>
                </c:pt>
                <c:pt idx="95">
                  <c:v>1995</c:v>
                </c:pt>
                <c:pt idx="96">
                  <c:v>1996</c:v>
                </c:pt>
                <c:pt idx="97">
                  <c:v>1997</c:v>
                </c:pt>
                <c:pt idx="98">
                  <c:v>1998</c:v>
                </c:pt>
                <c:pt idx="99">
                  <c:v>1999</c:v>
                </c:pt>
                <c:pt idx="100">
                  <c:v>2000</c:v>
                </c:pt>
                <c:pt idx="101">
                  <c:v>2001</c:v>
                </c:pt>
                <c:pt idx="102">
                  <c:v>2002</c:v>
                </c:pt>
                <c:pt idx="103">
                  <c:v>2003</c:v>
                </c:pt>
                <c:pt idx="104">
                  <c:v>2004</c:v>
                </c:pt>
                <c:pt idx="105">
                  <c:v>2005</c:v>
                </c:pt>
                <c:pt idx="106">
                  <c:v>2006</c:v>
                </c:pt>
                <c:pt idx="107">
                  <c:v>2007</c:v>
                </c:pt>
                <c:pt idx="108">
                  <c:v>2008</c:v>
                </c:pt>
                <c:pt idx="109">
                  <c:v>2009</c:v>
                </c:pt>
                <c:pt idx="110">
                  <c:v>2010</c:v>
                </c:pt>
                <c:pt idx="111">
                  <c:v>2011</c:v>
                </c:pt>
                <c:pt idx="112">
                  <c:v>2012</c:v>
                </c:pt>
                <c:pt idx="113">
                  <c:v>2013</c:v>
                </c:pt>
                <c:pt idx="114">
                  <c:v>2014</c:v>
                </c:pt>
                <c:pt idx="115">
                  <c:v>2015</c:v>
                </c:pt>
                <c:pt idx="116">
                  <c:v>2016</c:v>
                </c:pt>
                <c:pt idx="117">
                  <c:v>2017</c:v>
                </c:pt>
                <c:pt idx="118">
                  <c:v>2018</c:v>
                </c:pt>
              </c:numCache>
            </c:numRef>
          </c:cat>
          <c:val>
            <c:numRef>
              <c:f>'temperature-anomaly'!$J$2:$J$120</c:f>
              <c:numCache>
                <c:formatCode>General</c:formatCode>
                <c:ptCount val="119"/>
                <c:pt idx="0">
                  <c:v>0.14699999999999999</c:v>
                </c:pt>
                <c:pt idx="1">
                  <c:v>0.20799999999999999</c:v>
                </c:pt>
                <c:pt idx="2">
                  <c:v>0.35499999999999998</c:v>
                </c:pt>
                <c:pt idx="3">
                  <c:v>0.43099999999999999</c:v>
                </c:pt>
                <c:pt idx="4">
                  <c:v>0.47099999999999997</c:v>
                </c:pt>
                <c:pt idx="5">
                  <c:v>0.32600000000000001</c:v>
                </c:pt>
                <c:pt idx="6">
                  <c:v>0.23200000000000001</c:v>
                </c:pt>
                <c:pt idx="7">
                  <c:v>0.42299999999999999</c:v>
                </c:pt>
                <c:pt idx="8">
                  <c:v>0.46800000000000003</c:v>
                </c:pt>
                <c:pt idx="9">
                  <c:v>0.47599999999999998</c:v>
                </c:pt>
                <c:pt idx="10">
                  <c:v>0.44800000000000001</c:v>
                </c:pt>
                <c:pt idx="11">
                  <c:v>0.498</c:v>
                </c:pt>
                <c:pt idx="12">
                  <c:v>0.39200000000000002</c:v>
                </c:pt>
                <c:pt idx="13">
                  <c:v>0.38100000000000001</c:v>
                </c:pt>
                <c:pt idx="14">
                  <c:v>0.19700000000000001</c:v>
                </c:pt>
                <c:pt idx="15">
                  <c:v>8.5000000000000006E-2</c:v>
                </c:pt>
                <c:pt idx="16">
                  <c:v>0.32800000000000001</c:v>
                </c:pt>
                <c:pt idx="17">
                  <c:v>0.41299999999999998</c:v>
                </c:pt>
                <c:pt idx="18">
                  <c:v>0.27</c:v>
                </c:pt>
                <c:pt idx="19">
                  <c:v>0.217</c:v>
                </c:pt>
                <c:pt idx="20">
                  <c:v>0.19800000000000001</c:v>
                </c:pt>
                <c:pt idx="21">
                  <c:v>0.14899999999999999</c:v>
                </c:pt>
                <c:pt idx="22">
                  <c:v>0.26200000000000001</c:v>
                </c:pt>
                <c:pt idx="23">
                  <c:v>0.23699999999999999</c:v>
                </c:pt>
                <c:pt idx="24">
                  <c:v>0.25900000000000001</c:v>
                </c:pt>
                <c:pt idx="25">
                  <c:v>0.17799999999999999</c:v>
                </c:pt>
                <c:pt idx="26">
                  <c:v>7.0000000000000007E-2</c:v>
                </c:pt>
                <c:pt idx="27">
                  <c:v>0.17699999999999999</c:v>
                </c:pt>
                <c:pt idx="28">
                  <c:v>0.17399999999999999</c:v>
                </c:pt>
                <c:pt idx="29">
                  <c:v>0.32</c:v>
                </c:pt>
                <c:pt idx="30">
                  <c:v>0.104</c:v>
                </c:pt>
                <c:pt idx="31">
                  <c:v>5.5E-2</c:v>
                </c:pt>
                <c:pt idx="32">
                  <c:v>0.107</c:v>
                </c:pt>
                <c:pt idx="33">
                  <c:v>0.24</c:v>
                </c:pt>
                <c:pt idx="34">
                  <c:v>0.1</c:v>
                </c:pt>
                <c:pt idx="35">
                  <c:v>0.15</c:v>
                </c:pt>
                <c:pt idx="36">
                  <c:v>0.12</c:v>
                </c:pt>
                <c:pt idx="37">
                  <c:v>1E-3</c:v>
                </c:pt>
                <c:pt idx="38">
                  <c:v>1.7000000000000001E-2</c:v>
                </c:pt>
                <c:pt idx="39">
                  <c:v>2.9000000000000001E-2</c:v>
                </c:pt>
                <c:pt idx="40">
                  <c:v>4.4999999999999998E-2</c:v>
                </c:pt>
                <c:pt idx="41">
                  <c:v>5.2999999999999999E-2</c:v>
                </c:pt>
                <c:pt idx="42">
                  <c:v>1.4999999999999999E-2</c:v>
                </c:pt>
                <c:pt idx="43">
                  <c:v>3.5999999999999997E-2</c:v>
                </c:pt>
                <c:pt idx="44">
                  <c:v>0.18</c:v>
                </c:pt>
                <c:pt idx="45">
                  <c:v>5.8999999999999997E-2</c:v>
                </c:pt>
                <c:pt idx="46">
                  <c:v>4.2000000000000003E-2</c:v>
                </c:pt>
                <c:pt idx="47">
                  <c:v>1E-3</c:v>
                </c:pt>
                <c:pt idx="48">
                  <c:v>0</c:v>
                </c:pt>
                <c:pt idx="49">
                  <c:v>3.5999999999999997E-2</c:v>
                </c:pt>
                <c:pt idx="50">
                  <c:v>0.13500000000000001</c:v>
                </c:pt>
                <c:pt idx="51">
                  <c:v>1.7999999999999999E-2</c:v>
                </c:pt>
                <c:pt idx="52">
                  <c:v>6.3E-2</c:v>
                </c:pt>
                <c:pt idx="53">
                  <c:v>0.13200000000000001</c:v>
                </c:pt>
                <c:pt idx="54">
                  <c:v>9.2999999999999999E-2</c:v>
                </c:pt>
                <c:pt idx="55">
                  <c:v>0.16</c:v>
                </c:pt>
                <c:pt idx="56">
                  <c:v>0.23599999999999999</c:v>
                </c:pt>
                <c:pt idx="57">
                  <c:v>2.4E-2</c:v>
                </c:pt>
                <c:pt idx="58">
                  <c:v>7.4999999999999997E-2</c:v>
                </c:pt>
                <c:pt idx="59">
                  <c:v>4.2999999999999997E-2</c:v>
                </c:pt>
                <c:pt idx="60">
                  <c:v>2.3E-2</c:v>
                </c:pt>
                <c:pt idx="61">
                  <c:v>0.06</c:v>
                </c:pt>
                <c:pt idx="62">
                  <c:v>3.4000000000000002E-2</c:v>
                </c:pt>
                <c:pt idx="63">
                  <c:v>7.3999999999999996E-2</c:v>
                </c:pt>
                <c:pt idx="64">
                  <c:v>0.19700000000000001</c:v>
                </c:pt>
                <c:pt idx="65">
                  <c:v>0.113</c:v>
                </c:pt>
                <c:pt idx="66">
                  <c:v>4.2000000000000003E-2</c:v>
                </c:pt>
                <c:pt idx="67">
                  <c:v>5.1999999999999998E-2</c:v>
                </c:pt>
                <c:pt idx="68">
                  <c:v>9.7000000000000003E-2</c:v>
                </c:pt>
                <c:pt idx="69">
                  <c:v>0.05</c:v>
                </c:pt>
                <c:pt idx="70">
                  <c:v>8.9999999999999993E-3</c:v>
                </c:pt>
                <c:pt idx="71">
                  <c:v>0.16300000000000001</c:v>
                </c:pt>
                <c:pt idx="72">
                  <c:v>0.04</c:v>
                </c:pt>
                <c:pt idx="73">
                  <c:v>8.2000000000000003E-2</c:v>
                </c:pt>
                <c:pt idx="74">
                  <c:v>0.19700000000000001</c:v>
                </c:pt>
                <c:pt idx="75">
                  <c:v>0.13400000000000001</c:v>
                </c:pt>
                <c:pt idx="76">
                  <c:v>0.22700000000000001</c:v>
                </c:pt>
                <c:pt idx="77">
                  <c:v>6.4000000000000001E-2</c:v>
                </c:pt>
                <c:pt idx="78">
                  <c:v>4.3999999999999997E-2</c:v>
                </c:pt>
                <c:pt idx="79">
                  <c:v>7.5999999999999998E-2</c:v>
                </c:pt>
                <c:pt idx="80">
                  <c:v>0.107</c:v>
                </c:pt>
                <c:pt idx="81">
                  <c:v>0.153</c:v>
                </c:pt>
                <c:pt idx="82">
                  <c:v>0.03</c:v>
                </c:pt>
                <c:pt idx="83">
                  <c:v>0.21099999999999999</c:v>
                </c:pt>
                <c:pt idx="84">
                  <c:v>6.0000000000000001E-3</c:v>
                </c:pt>
                <c:pt idx="85">
                  <c:v>1.2999999999999999E-2</c:v>
                </c:pt>
                <c:pt idx="86">
                  <c:v>6.7000000000000004E-2</c:v>
                </c:pt>
                <c:pt idx="87">
                  <c:v>0.22</c:v>
                </c:pt>
                <c:pt idx="88">
                  <c:v>0.221</c:v>
                </c:pt>
                <c:pt idx="89">
                  <c:v>0.14699999999999999</c:v>
                </c:pt>
                <c:pt idx="90">
                  <c:v>0.33</c:v>
                </c:pt>
                <c:pt idx="91">
                  <c:v>0.28899999999999998</c:v>
                </c:pt>
                <c:pt idx="92">
                  <c:v>0.13900000000000001</c:v>
                </c:pt>
                <c:pt idx="93">
                  <c:v>0.186</c:v>
                </c:pt>
                <c:pt idx="94">
                  <c:v>0.247</c:v>
                </c:pt>
                <c:pt idx="95">
                  <c:v>0.36099999999999999</c:v>
                </c:pt>
                <c:pt idx="96">
                  <c:v>0.217</c:v>
                </c:pt>
                <c:pt idx="97">
                  <c:v>0.42499999999999999</c:v>
                </c:pt>
                <c:pt idx="98">
                  <c:v>0.57799999999999996</c:v>
                </c:pt>
                <c:pt idx="99">
                  <c:v>0.34300000000000003</c:v>
                </c:pt>
                <c:pt idx="100">
                  <c:v>0.33800000000000002</c:v>
                </c:pt>
                <c:pt idx="101">
                  <c:v>0.48299999999999998</c:v>
                </c:pt>
                <c:pt idx="102">
                  <c:v>0.53800000000000003</c:v>
                </c:pt>
                <c:pt idx="103">
                  <c:v>0.54600000000000004</c:v>
                </c:pt>
                <c:pt idx="104">
                  <c:v>0.48299999999999998</c:v>
                </c:pt>
                <c:pt idx="105">
                  <c:v>0.58299999999999996</c:v>
                </c:pt>
                <c:pt idx="106">
                  <c:v>0.54400000000000004</c:v>
                </c:pt>
                <c:pt idx="107">
                  <c:v>0.53100000000000003</c:v>
                </c:pt>
                <c:pt idx="108">
                  <c:v>0.432</c:v>
                </c:pt>
                <c:pt idx="109">
                  <c:v>0.54600000000000004</c:v>
                </c:pt>
                <c:pt idx="110">
                  <c:v>0.60299999999999998</c:v>
                </c:pt>
                <c:pt idx="111">
                  <c:v>0.46600000000000003</c:v>
                </c:pt>
                <c:pt idx="112">
                  <c:v>0.50900000000000001</c:v>
                </c:pt>
                <c:pt idx="113">
                  <c:v>0.55200000000000005</c:v>
                </c:pt>
                <c:pt idx="114">
                  <c:v>0.61599999999999999</c:v>
                </c:pt>
                <c:pt idx="115">
                  <c:v>0.80200000000000005</c:v>
                </c:pt>
                <c:pt idx="116">
                  <c:v>0.83499999999999996</c:v>
                </c:pt>
                <c:pt idx="117">
                  <c:v>0.71599999999999997</c:v>
                </c:pt>
                <c:pt idx="118">
                  <c:v>0.63400000000000001</c:v>
                </c:pt>
              </c:numCache>
            </c:numRef>
          </c:val>
          <c:smooth val="0"/>
          <c:extLst>
            <c:ext xmlns:c16="http://schemas.microsoft.com/office/drawing/2014/chart" uri="{C3380CC4-5D6E-409C-BE32-E72D297353CC}">
              <c16:uniqueId val="{00000001-A154-4824-9375-B579DDCAC9B3}"/>
            </c:ext>
          </c:extLst>
        </c:ser>
        <c:ser>
          <c:idx val="2"/>
          <c:order val="2"/>
          <c:tx>
            <c:strRef>
              <c:f>'temperature-anomaly'!$K$1</c:f>
              <c:strCache>
                <c:ptCount val="1"/>
                <c:pt idx="0">
                  <c:v>Lower </c:v>
                </c:pt>
              </c:strCache>
            </c:strRef>
          </c:tx>
          <c:spPr>
            <a:ln w="12700" cap="rnd">
              <a:solidFill>
                <a:schemeClr val="accent3"/>
              </a:solidFill>
              <a:round/>
            </a:ln>
            <a:effectLst/>
          </c:spPr>
          <c:marker>
            <c:symbol val="none"/>
          </c:marker>
          <c:cat>
            <c:numRef>
              <c:f>'temperature-anomaly'!$H$2:$H$120</c:f>
              <c:numCache>
                <c:formatCode>General</c:formatCode>
                <c:ptCount val="119"/>
                <c:pt idx="0">
                  <c:v>1900</c:v>
                </c:pt>
                <c:pt idx="1">
                  <c:v>1901</c:v>
                </c:pt>
                <c:pt idx="2">
                  <c:v>1902</c:v>
                </c:pt>
                <c:pt idx="3">
                  <c:v>1903</c:v>
                </c:pt>
                <c:pt idx="4">
                  <c:v>1904</c:v>
                </c:pt>
                <c:pt idx="5">
                  <c:v>1905</c:v>
                </c:pt>
                <c:pt idx="6">
                  <c:v>1906</c:v>
                </c:pt>
                <c:pt idx="7">
                  <c:v>1907</c:v>
                </c:pt>
                <c:pt idx="8">
                  <c:v>1908</c:v>
                </c:pt>
                <c:pt idx="9">
                  <c:v>1909</c:v>
                </c:pt>
                <c:pt idx="10">
                  <c:v>1910</c:v>
                </c:pt>
                <c:pt idx="11">
                  <c:v>1911</c:v>
                </c:pt>
                <c:pt idx="12">
                  <c:v>1912</c:v>
                </c:pt>
                <c:pt idx="13">
                  <c:v>1913</c:v>
                </c:pt>
                <c:pt idx="14">
                  <c:v>1914</c:v>
                </c:pt>
                <c:pt idx="15">
                  <c:v>1915</c:v>
                </c:pt>
                <c:pt idx="16">
                  <c:v>1916</c:v>
                </c:pt>
                <c:pt idx="17">
                  <c:v>1917</c:v>
                </c:pt>
                <c:pt idx="18">
                  <c:v>1918</c:v>
                </c:pt>
                <c:pt idx="19">
                  <c:v>1919</c:v>
                </c:pt>
                <c:pt idx="20">
                  <c:v>1920</c:v>
                </c:pt>
                <c:pt idx="21">
                  <c:v>1921</c:v>
                </c:pt>
                <c:pt idx="22">
                  <c:v>1922</c:v>
                </c:pt>
                <c:pt idx="23">
                  <c:v>1923</c:v>
                </c:pt>
                <c:pt idx="24">
                  <c:v>1924</c:v>
                </c:pt>
                <c:pt idx="25">
                  <c:v>1925</c:v>
                </c:pt>
                <c:pt idx="26">
                  <c:v>1926</c:v>
                </c:pt>
                <c:pt idx="27">
                  <c:v>1927</c:v>
                </c:pt>
                <c:pt idx="28">
                  <c:v>1928</c:v>
                </c:pt>
                <c:pt idx="29">
                  <c:v>1929</c:v>
                </c:pt>
                <c:pt idx="30">
                  <c:v>1930</c:v>
                </c:pt>
                <c:pt idx="31">
                  <c:v>1931</c:v>
                </c:pt>
                <c:pt idx="32">
                  <c:v>1932</c:v>
                </c:pt>
                <c:pt idx="33">
                  <c:v>1933</c:v>
                </c:pt>
                <c:pt idx="34">
                  <c:v>1934</c:v>
                </c:pt>
                <c:pt idx="35">
                  <c:v>1935</c:v>
                </c:pt>
                <c:pt idx="36">
                  <c:v>1936</c:v>
                </c:pt>
                <c:pt idx="37">
                  <c:v>1937</c:v>
                </c:pt>
                <c:pt idx="38">
                  <c:v>1938</c:v>
                </c:pt>
                <c:pt idx="39">
                  <c:v>1939</c:v>
                </c:pt>
                <c:pt idx="40">
                  <c:v>1940</c:v>
                </c:pt>
                <c:pt idx="41">
                  <c:v>1941</c:v>
                </c:pt>
                <c:pt idx="42">
                  <c:v>1942</c:v>
                </c:pt>
                <c:pt idx="43">
                  <c:v>1943</c:v>
                </c:pt>
                <c:pt idx="44">
                  <c:v>1944</c:v>
                </c:pt>
                <c:pt idx="45">
                  <c:v>1945</c:v>
                </c:pt>
                <c:pt idx="46">
                  <c:v>1946</c:v>
                </c:pt>
                <c:pt idx="47">
                  <c:v>1947</c:v>
                </c:pt>
                <c:pt idx="48">
                  <c:v>1948</c:v>
                </c:pt>
                <c:pt idx="49">
                  <c:v>1949</c:v>
                </c:pt>
                <c:pt idx="50">
                  <c:v>1950</c:v>
                </c:pt>
                <c:pt idx="51">
                  <c:v>1951</c:v>
                </c:pt>
                <c:pt idx="52">
                  <c:v>1952</c:v>
                </c:pt>
                <c:pt idx="53">
                  <c:v>1953</c:v>
                </c:pt>
                <c:pt idx="54">
                  <c:v>1954</c:v>
                </c:pt>
                <c:pt idx="55">
                  <c:v>1955</c:v>
                </c:pt>
                <c:pt idx="56">
                  <c:v>1956</c:v>
                </c:pt>
                <c:pt idx="57">
                  <c:v>1957</c:v>
                </c:pt>
                <c:pt idx="58">
                  <c:v>1958</c:v>
                </c:pt>
                <c:pt idx="59">
                  <c:v>1959</c:v>
                </c:pt>
                <c:pt idx="60">
                  <c:v>1960</c:v>
                </c:pt>
                <c:pt idx="61">
                  <c:v>1961</c:v>
                </c:pt>
                <c:pt idx="62">
                  <c:v>1962</c:v>
                </c:pt>
                <c:pt idx="63">
                  <c:v>1963</c:v>
                </c:pt>
                <c:pt idx="64">
                  <c:v>1964</c:v>
                </c:pt>
                <c:pt idx="65">
                  <c:v>1965</c:v>
                </c:pt>
                <c:pt idx="66">
                  <c:v>1966</c:v>
                </c:pt>
                <c:pt idx="67">
                  <c:v>1967</c:v>
                </c:pt>
                <c:pt idx="68">
                  <c:v>1968</c:v>
                </c:pt>
                <c:pt idx="69">
                  <c:v>1969</c:v>
                </c:pt>
                <c:pt idx="70">
                  <c:v>1970</c:v>
                </c:pt>
                <c:pt idx="71">
                  <c:v>1971</c:v>
                </c:pt>
                <c:pt idx="72">
                  <c:v>1972</c:v>
                </c:pt>
                <c:pt idx="73">
                  <c:v>1973</c:v>
                </c:pt>
                <c:pt idx="74">
                  <c:v>1974</c:v>
                </c:pt>
                <c:pt idx="75">
                  <c:v>1975</c:v>
                </c:pt>
                <c:pt idx="76">
                  <c:v>1976</c:v>
                </c:pt>
                <c:pt idx="77">
                  <c:v>1977</c:v>
                </c:pt>
                <c:pt idx="78">
                  <c:v>1978</c:v>
                </c:pt>
                <c:pt idx="79">
                  <c:v>1979</c:v>
                </c:pt>
                <c:pt idx="80">
                  <c:v>1980</c:v>
                </c:pt>
                <c:pt idx="81">
                  <c:v>1981</c:v>
                </c:pt>
                <c:pt idx="82">
                  <c:v>1982</c:v>
                </c:pt>
                <c:pt idx="83">
                  <c:v>1983</c:v>
                </c:pt>
                <c:pt idx="84">
                  <c:v>1984</c:v>
                </c:pt>
                <c:pt idx="85">
                  <c:v>1985</c:v>
                </c:pt>
                <c:pt idx="86">
                  <c:v>1986</c:v>
                </c:pt>
                <c:pt idx="87">
                  <c:v>1987</c:v>
                </c:pt>
                <c:pt idx="88">
                  <c:v>1988</c:v>
                </c:pt>
                <c:pt idx="89">
                  <c:v>1989</c:v>
                </c:pt>
                <c:pt idx="90">
                  <c:v>1990</c:v>
                </c:pt>
                <c:pt idx="91">
                  <c:v>1991</c:v>
                </c:pt>
                <c:pt idx="92">
                  <c:v>1992</c:v>
                </c:pt>
                <c:pt idx="93">
                  <c:v>1993</c:v>
                </c:pt>
                <c:pt idx="94">
                  <c:v>1994</c:v>
                </c:pt>
                <c:pt idx="95">
                  <c:v>1995</c:v>
                </c:pt>
                <c:pt idx="96">
                  <c:v>1996</c:v>
                </c:pt>
                <c:pt idx="97">
                  <c:v>1997</c:v>
                </c:pt>
                <c:pt idx="98">
                  <c:v>1998</c:v>
                </c:pt>
                <c:pt idx="99">
                  <c:v>1999</c:v>
                </c:pt>
                <c:pt idx="100">
                  <c:v>2000</c:v>
                </c:pt>
                <c:pt idx="101">
                  <c:v>2001</c:v>
                </c:pt>
                <c:pt idx="102">
                  <c:v>2002</c:v>
                </c:pt>
                <c:pt idx="103">
                  <c:v>2003</c:v>
                </c:pt>
                <c:pt idx="104">
                  <c:v>2004</c:v>
                </c:pt>
                <c:pt idx="105">
                  <c:v>2005</c:v>
                </c:pt>
                <c:pt idx="106">
                  <c:v>2006</c:v>
                </c:pt>
                <c:pt idx="107">
                  <c:v>2007</c:v>
                </c:pt>
                <c:pt idx="108">
                  <c:v>2008</c:v>
                </c:pt>
                <c:pt idx="109">
                  <c:v>2009</c:v>
                </c:pt>
                <c:pt idx="110">
                  <c:v>2010</c:v>
                </c:pt>
                <c:pt idx="111">
                  <c:v>2011</c:v>
                </c:pt>
                <c:pt idx="112">
                  <c:v>2012</c:v>
                </c:pt>
                <c:pt idx="113">
                  <c:v>2013</c:v>
                </c:pt>
                <c:pt idx="114">
                  <c:v>2014</c:v>
                </c:pt>
                <c:pt idx="115">
                  <c:v>2015</c:v>
                </c:pt>
                <c:pt idx="116">
                  <c:v>2016</c:v>
                </c:pt>
                <c:pt idx="117">
                  <c:v>2017</c:v>
                </c:pt>
                <c:pt idx="118">
                  <c:v>2018</c:v>
                </c:pt>
              </c:numCache>
            </c:numRef>
          </c:cat>
          <c:val>
            <c:numRef>
              <c:f>'temperature-anomaly'!$K$2:$K$120</c:f>
              <c:numCache>
                <c:formatCode>General</c:formatCode>
                <c:ptCount val="119"/>
                <c:pt idx="0">
                  <c:v>0.27200000000000002</c:v>
                </c:pt>
                <c:pt idx="1">
                  <c:v>0.32600000000000001</c:v>
                </c:pt>
                <c:pt idx="2">
                  <c:v>0.46100000000000002</c:v>
                </c:pt>
                <c:pt idx="3">
                  <c:v>0.54300000000000004</c:v>
                </c:pt>
                <c:pt idx="4">
                  <c:v>0.57999999999999996</c:v>
                </c:pt>
                <c:pt idx="5">
                  <c:v>0.438</c:v>
                </c:pt>
                <c:pt idx="6">
                  <c:v>0.33800000000000002</c:v>
                </c:pt>
                <c:pt idx="7">
                  <c:v>0.52300000000000002</c:v>
                </c:pt>
                <c:pt idx="8">
                  <c:v>0.56299999999999994</c:v>
                </c:pt>
                <c:pt idx="9">
                  <c:v>0.57599999999999996</c:v>
                </c:pt>
                <c:pt idx="10">
                  <c:v>0.54700000000000004</c:v>
                </c:pt>
                <c:pt idx="11">
                  <c:v>0.59499999999999997</c:v>
                </c:pt>
                <c:pt idx="12">
                  <c:v>0.48599999999999999</c:v>
                </c:pt>
                <c:pt idx="13">
                  <c:v>0.47099999999999997</c:v>
                </c:pt>
                <c:pt idx="14">
                  <c:v>0.29099999999999998</c:v>
                </c:pt>
                <c:pt idx="15">
                  <c:v>0.20200000000000001</c:v>
                </c:pt>
                <c:pt idx="16">
                  <c:v>0.437</c:v>
                </c:pt>
                <c:pt idx="17">
                  <c:v>0.52500000000000002</c:v>
                </c:pt>
                <c:pt idx="18">
                  <c:v>0.39600000000000002</c:v>
                </c:pt>
                <c:pt idx="19">
                  <c:v>0.32700000000000001</c:v>
                </c:pt>
                <c:pt idx="20">
                  <c:v>0.29599999999999999</c:v>
                </c:pt>
                <c:pt idx="21">
                  <c:v>0.23699999999999999</c:v>
                </c:pt>
                <c:pt idx="22">
                  <c:v>0.34599999999999997</c:v>
                </c:pt>
                <c:pt idx="23">
                  <c:v>0.32300000000000001</c:v>
                </c:pt>
                <c:pt idx="24">
                  <c:v>0.34</c:v>
                </c:pt>
                <c:pt idx="25">
                  <c:v>0.26500000000000001</c:v>
                </c:pt>
                <c:pt idx="26">
                  <c:v>0.155</c:v>
                </c:pt>
                <c:pt idx="27">
                  <c:v>0.253</c:v>
                </c:pt>
                <c:pt idx="28">
                  <c:v>0.253</c:v>
                </c:pt>
                <c:pt idx="29">
                  <c:v>0.39400000000000002</c:v>
                </c:pt>
                <c:pt idx="30">
                  <c:v>0.18099999999999999</c:v>
                </c:pt>
                <c:pt idx="31">
                  <c:v>0.13300000000000001</c:v>
                </c:pt>
                <c:pt idx="32">
                  <c:v>0.183</c:v>
                </c:pt>
                <c:pt idx="33">
                  <c:v>0.32</c:v>
                </c:pt>
                <c:pt idx="34">
                  <c:v>0.17699999999999999</c:v>
                </c:pt>
                <c:pt idx="35">
                  <c:v>0.221</c:v>
                </c:pt>
                <c:pt idx="36">
                  <c:v>0.186</c:v>
                </c:pt>
                <c:pt idx="37">
                  <c:v>6.4000000000000001E-2</c:v>
                </c:pt>
                <c:pt idx="38">
                  <c:v>4.3999999999999997E-2</c:v>
                </c:pt>
                <c:pt idx="39">
                  <c:v>8.7999999999999995E-2</c:v>
                </c:pt>
                <c:pt idx="40">
                  <c:v>1.7999999999999999E-2</c:v>
                </c:pt>
                <c:pt idx="41">
                  <c:v>2.1000000000000001E-2</c:v>
                </c:pt>
                <c:pt idx="42">
                  <c:v>8.1000000000000003E-2</c:v>
                </c:pt>
                <c:pt idx="43">
                  <c:v>5.6000000000000001E-2</c:v>
                </c:pt>
                <c:pt idx="44">
                  <c:v>9.4E-2</c:v>
                </c:pt>
                <c:pt idx="45">
                  <c:v>1.7000000000000001E-2</c:v>
                </c:pt>
                <c:pt idx="46">
                  <c:v>0.113</c:v>
                </c:pt>
                <c:pt idx="47">
                  <c:v>9.8000000000000004E-2</c:v>
                </c:pt>
                <c:pt idx="48">
                  <c:v>0.10100000000000001</c:v>
                </c:pt>
                <c:pt idx="49">
                  <c:v>0.11899999999999999</c:v>
                </c:pt>
                <c:pt idx="50">
                  <c:v>0.216</c:v>
                </c:pt>
                <c:pt idx="51">
                  <c:v>9.0999999999999998E-2</c:v>
                </c:pt>
                <c:pt idx="52">
                  <c:v>0.01</c:v>
                </c:pt>
                <c:pt idx="53">
                  <c:v>0.06</c:v>
                </c:pt>
                <c:pt idx="54">
                  <c:v>0.16600000000000001</c:v>
                </c:pt>
                <c:pt idx="55">
                  <c:v>0.222</c:v>
                </c:pt>
                <c:pt idx="56">
                  <c:v>0.29699999999999999</c:v>
                </c:pt>
                <c:pt idx="57">
                  <c:v>3.5000000000000003E-2</c:v>
                </c:pt>
                <c:pt idx="58">
                  <c:v>0.02</c:v>
                </c:pt>
                <c:pt idx="59">
                  <c:v>8.0000000000000002E-3</c:v>
                </c:pt>
                <c:pt idx="60">
                  <c:v>7.2999999999999995E-2</c:v>
                </c:pt>
                <c:pt idx="61">
                  <c:v>8.9999999999999993E-3</c:v>
                </c:pt>
                <c:pt idx="62">
                  <c:v>1.2E-2</c:v>
                </c:pt>
                <c:pt idx="63">
                  <c:v>2.1999999999999999E-2</c:v>
                </c:pt>
                <c:pt idx="64">
                  <c:v>0.246</c:v>
                </c:pt>
                <c:pt idx="65">
                  <c:v>0.16300000000000001</c:v>
                </c:pt>
                <c:pt idx="66">
                  <c:v>0.09</c:v>
                </c:pt>
                <c:pt idx="67">
                  <c:v>9.2999999999999999E-2</c:v>
                </c:pt>
                <c:pt idx="68">
                  <c:v>0.13300000000000001</c:v>
                </c:pt>
                <c:pt idx="69">
                  <c:v>1.4E-2</c:v>
                </c:pt>
                <c:pt idx="70">
                  <c:v>4.8000000000000001E-2</c:v>
                </c:pt>
                <c:pt idx="71">
                  <c:v>0.20399999999999999</c:v>
                </c:pt>
                <c:pt idx="72">
                  <c:v>0.08</c:v>
                </c:pt>
                <c:pt idx="73">
                  <c:v>5.0999999999999997E-2</c:v>
                </c:pt>
                <c:pt idx="74">
                  <c:v>0.22700000000000001</c:v>
                </c:pt>
                <c:pt idx="75">
                  <c:v>0.16300000000000001</c:v>
                </c:pt>
                <c:pt idx="76">
                  <c:v>0.255</c:v>
                </c:pt>
                <c:pt idx="77">
                  <c:v>3.4000000000000002E-2</c:v>
                </c:pt>
                <c:pt idx="78">
                  <c:v>7.6999999999999999E-2</c:v>
                </c:pt>
                <c:pt idx="79">
                  <c:v>4.1000000000000002E-2</c:v>
                </c:pt>
                <c:pt idx="80">
                  <c:v>7.6999999999999999E-2</c:v>
                </c:pt>
                <c:pt idx="81">
                  <c:v>0.125</c:v>
                </c:pt>
                <c:pt idx="82">
                  <c:v>1.0999999999999999E-2</c:v>
                </c:pt>
                <c:pt idx="83">
                  <c:v>0.17399999999999999</c:v>
                </c:pt>
                <c:pt idx="84">
                  <c:v>3.3000000000000002E-2</c:v>
                </c:pt>
                <c:pt idx="85">
                  <c:v>4.8000000000000001E-2</c:v>
                </c:pt>
                <c:pt idx="86">
                  <c:v>2.4E-2</c:v>
                </c:pt>
                <c:pt idx="87">
                  <c:v>0.17100000000000001</c:v>
                </c:pt>
                <c:pt idx="88">
                  <c:v>0.17499999999999999</c:v>
                </c:pt>
                <c:pt idx="89">
                  <c:v>9.0999999999999998E-2</c:v>
                </c:pt>
                <c:pt idx="90">
                  <c:v>0.26700000000000002</c:v>
                </c:pt>
                <c:pt idx="91">
                  <c:v>0.22</c:v>
                </c:pt>
                <c:pt idx="92">
                  <c:v>7.0999999999999994E-2</c:v>
                </c:pt>
                <c:pt idx="93">
                  <c:v>0.112</c:v>
                </c:pt>
                <c:pt idx="94">
                  <c:v>0.17399999999999999</c:v>
                </c:pt>
                <c:pt idx="95">
                  <c:v>0.28899999999999998</c:v>
                </c:pt>
                <c:pt idx="96">
                  <c:v>0.14599999999999999</c:v>
                </c:pt>
                <c:pt idx="97">
                  <c:v>0.35599999999999998</c:v>
                </c:pt>
                <c:pt idx="98">
                  <c:v>0.5</c:v>
                </c:pt>
                <c:pt idx="99">
                  <c:v>0.26500000000000001</c:v>
                </c:pt>
                <c:pt idx="100">
                  <c:v>0.25900000000000001</c:v>
                </c:pt>
                <c:pt idx="101">
                  <c:v>0.40600000000000003</c:v>
                </c:pt>
                <c:pt idx="102">
                  <c:v>0.46300000000000002</c:v>
                </c:pt>
                <c:pt idx="103">
                  <c:v>0.47299999999999998</c:v>
                </c:pt>
                <c:pt idx="104">
                  <c:v>0.41299999999999998</c:v>
                </c:pt>
                <c:pt idx="105">
                  <c:v>0.50700000000000001</c:v>
                </c:pt>
                <c:pt idx="106">
                  <c:v>0.46800000000000003</c:v>
                </c:pt>
                <c:pt idx="107">
                  <c:v>0.45700000000000002</c:v>
                </c:pt>
                <c:pt idx="108">
                  <c:v>0.35499999999999998</c:v>
                </c:pt>
                <c:pt idx="109">
                  <c:v>0.46500000000000002</c:v>
                </c:pt>
                <c:pt idx="110">
                  <c:v>0.52300000000000002</c:v>
                </c:pt>
                <c:pt idx="111">
                  <c:v>0.39300000000000002</c:v>
                </c:pt>
                <c:pt idx="112">
                  <c:v>0.437</c:v>
                </c:pt>
                <c:pt idx="113">
                  <c:v>0.47799999999999998</c:v>
                </c:pt>
                <c:pt idx="114">
                  <c:v>0.54500000000000004</c:v>
                </c:pt>
                <c:pt idx="115">
                  <c:v>0.73</c:v>
                </c:pt>
                <c:pt idx="116">
                  <c:v>0.76200000000000001</c:v>
                </c:pt>
                <c:pt idx="117">
                  <c:v>0.63600000000000001</c:v>
                </c:pt>
                <c:pt idx="118">
                  <c:v>0.55800000000000005</c:v>
                </c:pt>
              </c:numCache>
            </c:numRef>
          </c:val>
          <c:smooth val="0"/>
          <c:extLst>
            <c:ext xmlns:c16="http://schemas.microsoft.com/office/drawing/2014/chart" uri="{C3380CC4-5D6E-409C-BE32-E72D297353CC}">
              <c16:uniqueId val="{00000002-A154-4824-9375-B579DDCAC9B3}"/>
            </c:ext>
          </c:extLst>
        </c:ser>
        <c:dLbls>
          <c:showLegendKey val="0"/>
          <c:showVal val="0"/>
          <c:showCatName val="0"/>
          <c:showSerName val="0"/>
          <c:showPercent val="0"/>
          <c:showBubbleSize val="0"/>
        </c:dLbls>
        <c:smooth val="0"/>
        <c:axId val="-1751044928"/>
        <c:axId val="-1751044384"/>
      </c:lineChart>
      <c:catAx>
        <c:axId val="-175104492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1751044384"/>
        <c:crosses val="autoZero"/>
        <c:auto val="1"/>
        <c:lblAlgn val="ctr"/>
        <c:lblOffset val="100"/>
        <c:noMultiLvlLbl val="0"/>
      </c:catAx>
      <c:valAx>
        <c:axId val="-175104438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pl-PL"/>
                  <a:t>Temperature anomaly (C</a:t>
                </a:r>
                <a:r>
                  <a:rPr lang="pl-PL" baseline="30000"/>
                  <a:t>o</a:t>
                </a:r>
                <a:r>
                  <a:rPr lang="pl-PL" baseline="0"/>
                  <a:t>)</a:t>
                </a:r>
                <a:endParaRPr lang="pl-PL" baseline="30000"/>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pl-PL"/>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175104492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legend>
    <c:plotVisOnly val="1"/>
    <c:dispBlanksAs val="gap"/>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pl-PL"/>
              <a:t>S&amp;P</a:t>
            </a:r>
            <a:r>
              <a:rPr lang="pl-PL" baseline="0"/>
              <a:t> 500 Raport o zrównoważonym rozwoju</a:t>
            </a:r>
            <a:endParaRPr lang="en-GB"/>
          </a:p>
        </c:rich>
      </c:tx>
      <c:layout>
        <c:manualLayout>
          <c:xMode val="edge"/>
          <c:yMode val="edge"/>
          <c:x val="0.15676873096618704"/>
          <c:y val="4.6252885504761239E-3"/>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pl-PL"/>
        </a:p>
      </c:txPr>
    </c:title>
    <c:autoTitleDeleted val="0"/>
    <c:plotArea>
      <c:layout>
        <c:manualLayout>
          <c:layoutTarget val="inner"/>
          <c:xMode val="edge"/>
          <c:yMode val="edge"/>
          <c:x val="0.12538702968745366"/>
          <c:y val="0.16334036780223093"/>
          <c:w val="0.83516523855712221"/>
          <c:h val="0.55885808967879613"/>
        </c:manualLayout>
      </c:layout>
      <c:barChart>
        <c:barDir val="col"/>
        <c:grouping val="stacked"/>
        <c:varyColors val="0"/>
        <c:ser>
          <c:idx val="0"/>
          <c:order val="0"/>
          <c:tx>
            <c:strRef>
              <c:f>Sheet9!$A$3</c:f>
              <c:strCache>
                <c:ptCount val="1"/>
                <c:pt idx="0">
                  <c:v>Reporters</c:v>
                </c:pt>
              </c:strCache>
            </c:strRef>
          </c:tx>
          <c:spPr>
            <a:solidFill>
              <a:srgbClr val="00B050"/>
            </a:solidFill>
            <a:ln>
              <a:noFill/>
            </a:ln>
            <a:effectLst/>
          </c:spPr>
          <c:invertIfNegative val="0"/>
          <c:cat>
            <c:numRef>
              <c:f>Sheet9!$B$2:$H$2</c:f>
              <c:numCache>
                <c:formatCode>General</c:formatCode>
                <c:ptCount val="7"/>
                <c:pt idx="0">
                  <c:v>2011</c:v>
                </c:pt>
                <c:pt idx="1">
                  <c:v>2012</c:v>
                </c:pt>
                <c:pt idx="2">
                  <c:v>2013</c:v>
                </c:pt>
                <c:pt idx="3">
                  <c:v>2014</c:v>
                </c:pt>
                <c:pt idx="4">
                  <c:v>2015</c:v>
                </c:pt>
                <c:pt idx="5">
                  <c:v>2016</c:v>
                </c:pt>
                <c:pt idx="6">
                  <c:v>2017</c:v>
                </c:pt>
              </c:numCache>
            </c:numRef>
          </c:cat>
          <c:val>
            <c:numRef>
              <c:f>Sheet9!$B$3:$H$3</c:f>
              <c:numCache>
                <c:formatCode>0%</c:formatCode>
                <c:ptCount val="7"/>
                <c:pt idx="0">
                  <c:v>0.2</c:v>
                </c:pt>
                <c:pt idx="1">
                  <c:v>0.52</c:v>
                </c:pt>
                <c:pt idx="2">
                  <c:v>0.72</c:v>
                </c:pt>
                <c:pt idx="3">
                  <c:v>0.75</c:v>
                </c:pt>
                <c:pt idx="4">
                  <c:v>0.81</c:v>
                </c:pt>
                <c:pt idx="5">
                  <c:v>0.82</c:v>
                </c:pt>
                <c:pt idx="6">
                  <c:v>0.85</c:v>
                </c:pt>
              </c:numCache>
            </c:numRef>
          </c:val>
          <c:extLst>
            <c:ext xmlns:c16="http://schemas.microsoft.com/office/drawing/2014/chart" uri="{C3380CC4-5D6E-409C-BE32-E72D297353CC}">
              <c16:uniqueId val="{00000000-DEF1-443A-A319-2D6928B5070C}"/>
            </c:ext>
          </c:extLst>
        </c:ser>
        <c:ser>
          <c:idx val="1"/>
          <c:order val="1"/>
          <c:tx>
            <c:strRef>
              <c:f>Sheet9!$A$4</c:f>
              <c:strCache>
                <c:ptCount val="1"/>
                <c:pt idx="0">
                  <c:v>Non-reporters</c:v>
                </c:pt>
              </c:strCache>
            </c:strRef>
          </c:tx>
          <c:spPr>
            <a:solidFill>
              <a:srgbClr val="FF0000"/>
            </a:solidFill>
            <a:ln>
              <a:noFill/>
            </a:ln>
            <a:effectLst/>
          </c:spPr>
          <c:invertIfNegative val="0"/>
          <c:cat>
            <c:numRef>
              <c:f>Sheet9!$B$2:$H$2</c:f>
              <c:numCache>
                <c:formatCode>General</c:formatCode>
                <c:ptCount val="7"/>
                <c:pt idx="0">
                  <c:v>2011</c:v>
                </c:pt>
                <c:pt idx="1">
                  <c:v>2012</c:v>
                </c:pt>
                <c:pt idx="2">
                  <c:v>2013</c:v>
                </c:pt>
                <c:pt idx="3">
                  <c:v>2014</c:v>
                </c:pt>
                <c:pt idx="4">
                  <c:v>2015</c:v>
                </c:pt>
                <c:pt idx="5">
                  <c:v>2016</c:v>
                </c:pt>
                <c:pt idx="6">
                  <c:v>2017</c:v>
                </c:pt>
              </c:numCache>
            </c:numRef>
          </c:cat>
          <c:val>
            <c:numRef>
              <c:f>Sheet9!$B$4:$H$4</c:f>
              <c:numCache>
                <c:formatCode>0%</c:formatCode>
                <c:ptCount val="7"/>
                <c:pt idx="0">
                  <c:v>0.8</c:v>
                </c:pt>
                <c:pt idx="1">
                  <c:v>0.48</c:v>
                </c:pt>
                <c:pt idx="2">
                  <c:v>0.28000000000000003</c:v>
                </c:pt>
                <c:pt idx="3">
                  <c:v>0.25</c:v>
                </c:pt>
                <c:pt idx="4">
                  <c:v>0.18999999999999995</c:v>
                </c:pt>
                <c:pt idx="5">
                  <c:v>0.18000000000000005</c:v>
                </c:pt>
                <c:pt idx="6">
                  <c:v>0.15000000000000002</c:v>
                </c:pt>
              </c:numCache>
            </c:numRef>
          </c:val>
          <c:extLst>
            <c:ext xmlns:c16="http://schemas.microsoft.com/office/drawing/2014/chart" uri="{C3380CC4-5D6E-409C-BE32-E72D297353CC}">
              <c16:uniqueId val="{00000001-DEF1-443A-A319-2D6928B5070C}"/>
            </c:ext>
          </c:extLst>
        </c:ser>
        <c:dLbls>
          <c:showLegendKey val="0"/>
          <c:showVal val="0"/>
          <c:showCatName val="0"/>
          <c:showSerName val="0"/>
          <c:showPercent val="0"/>
          <c:showBubbleSize val="0"/>
        </c:dLbls>
        <c:gapWidth val="150"/>
        <c:overlap val="100"/>
        <c:axId val="-1880211392"/>
        <c:axId val="-1880216832"/>
      </c:barChart>
      <c:dateAx>
        <c:axId val="-1880211392"/>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1880216832"/>
        <c:crosses val="autoZero"/>
        <c:auto val="0"/>
        <c:lblOffset val="100"/>
        <c:baseTimeUnit val="days"/>
      </c:dateAx>
      <c:valAx>
        <c:axId val="-1880216832"/>
        <c:scaling>
          <c:orientation val="minMax"/>
          <c:max val="1"/>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1880211392"/>
        <c:crossesAt val="2011"/>
        <c:crossBetween val="between"/>
      </c:valAx>
      <c:spPr>
        <a:noFill/>
        <a:ln>
          <a:noFill/>
        </a:ln>
        <a:effectLst/>
      </c:spPr>
    </c:plotArea>
    <c:legend>
      <c:legendPos val="b"/>
      <c:layout>
        <c:manualLayout>
          <c:xMode val="edge"/>
          <c:yMode val="edge"/>
          <c:x val="0.26688889547762956"/>
          <c:y val="0.83192572740285664"/>
          <c:w val="0.4662219266701399"/>
          <c:h val="0.10174928013407429"/>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legend>
    <c:plotVisOnly val="1"/>
    <c:dispBlanksAs val="gap"/>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pl-PL"/>
              <a:t>Tematy interesujące inwestorów</a:t>
            </a:r>
            <a:endParaRPr lang="en-GB"/>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pl-PL"/>
        </a:p>
      </c:txPr>
    </c:title>
    <c:autoTitleDeleted val="0"/>
    <c:plotArea>
      <c:layout/>
      <c:barChart>
        <c:barDir val="bar"/>
        <c:grouping val="stacked"/>
        <c:varyColors val="0"/>
        <c:ser>
          <c:idx val="0"/>
          <c:order val="0"/>
          <c:tx>
            <c:strRef>
              <c:f>Sheet10!$C$1</c:f>
              <c:strCache>
                <c:ptCount val="1"/>
                <c:pt idx="0">
                  <c:v>Very interested</c:v>
                </c:pt>
              </c:strCache>
            </c:strRef>
          </c:tx>
          <c:spPr>
            <a:solidFill>
              <a:srgbClr val="002060"/>
            </a:solidFill>
            <a:ln>
              <a:noFill/>
            </a:ln>
            <a:effectLst/>
          </c:spPr>
          <c:invertIfNegative val="0"/>
          <c:cat>
            <c:strRef>
              <c:f>Sheet10!$B$2:$B$9</c:f>
              <c:strCache>
                <c:ptCount val="8"/>
                <c:pt idx="0">
                  <c:v>Plastic reduction</c:v>
                </c:pt>
                <c:pt idx="1">
                  <c:v>Climate change</c:v>
                </c:pt>
                <c:pt idx="2">
                  <c:v>Community development</c:v>
                </c:pt>
                <c:pt idx="3">
                  <c:v>Circular economy</c:v>
                </c:pt>
                <c:pt idx="4">
                  <c:v>Sustainability development goals</c:v>
                </c:pt>
                <c:pt idx="5">
                  <c:v>Multicultural diversity</c:v>
                </c:pt>
                <c:pt idx="6">
                  <c:v>Gender diversity</c:v>
                </c:pt>
                <c:pt idx="7">
                  <c:v>Faith-based values</c:v>
                </c:pt>
              </c:strCache>
            </c:strRef>
          </c:cat>
          <c:val>
            <c:numRef>
              <c:f>Sheet10!$C$2:$C$9</c:f>
              <c:numCache>
                <c:formatCode>0%</c:formatCode>
                <c:ptCount val="8"/>
                <c:pt idx="0">
                  <c:v>0.46</c:v>
                </c:pt>
                <c:pt idx="1">
                  <c:v>0.46</c:v>
                </c:pt>
                <c:pt idx="2">
                  <c:v>0.42</c:v>
                </c:pt>
                <c:pt idx="3">
                  <c:v>0.39</c:v>
                </c:pt>
                <c:pt idx="4">
                  <c:v>0.36</c:v>
                </c:pt>
                <c:pt idx="5">
                  <c:v>0.3</c:v>
                </c:pt>
                <c:pt idx="6">
                  <c:v>0.3</c:v>
                </c:pt>
                <c:pt idx="7">
                  <c:v>0.24</c:v>
                </c:pt>
              </c:numCache>
            </c:numRef>
          </c:val>
          <c:extLst>
            <c:ext xmlns:c16="http://schemas.microsoft.com/office/drawing/2014/chart" uri="{C3380CC4-5D6E-409C-BE32-E72D297353CC}">
              <c16:uniqueId val="{00000000-3518-4CF1-8B26-E28230AC49F5}"/>
            </c:ext>
          </c:extLst>
        </c:ser>
        <c:ser>
          <c:idx val="1"/>
          <c:order val="1"/>
          <c:tx>
            <c:strRef>
              <c:f>Sheet10!$D$1</c:f>
              <c:strCache>
                <c:ptCount val="1"/>
                <c:pt idx="0">
                  <c:v>Somewhat interested</c:v>
                </c:pt>
              </c:strCache>
            </c:strRef>
          </c:tx>
          <c:spPr>
            <a:solidFill>
              <a:srgbClr val="00B0F0"/>
            </a:solidFill>
            <a:ln>
              <a:noFill/>
            </a:ln>
            <a:effectLst/>
          </c:spPr>
          <c:invertIfNegative val="0"/>
          <c:cat>
            <c:strRef>
              <c:f>Sheet10!$B$2:$B$9</c:f>
              <c:strCache>
                <c:ptCount val="8"/>
                <c:pt idx="0">
                  <c:v>Plastic reduction</c:v>
                </c:pt>
                <c:pt idx="1">
                  <c:v>Climate change</c:v>
                </c:pt>
                <c:pt idx="2">
                  <c:v>Community development</c:v>
                </c:pt>
                <c:pt idx="3">
                  <c:v>Circular economy</c:v>
                </c:pt>
                <c:pt idx="4">
                  <c:v>Sustainability development goals</c:v>
                </c:pt>
                <c:pt idx="5">
                  <c:v>Multicultural diversity</c:v>
                </c:pt>
                <c:pt idx="6">
                  <c:v>Gender diversity</c:v>
                </c:pt>
                <c:pt idx="7">
                  <c:v>Faith-based values</c:v>
                </c:pt>
              </c:strCache>
            </c:strRef>
          </c:cat>
          <c:val>
            <c:numRef>
              <c:f>Sheet10!$D$2:$D$9</c:f>
              <c:numCache>
                <c:formatCode>0%</c:formatCode>
                <c:ptCount val="8"/>
                <c:pt idx="0">
                  <c:v>0.37</c:v>
                </c:pt>
                <c:pt idx="1">
                  <c:v>0.32</c:v>
                </c:pt>
                <c:pt idx="2">
                  <c:v>0.41</c:v>
                </c:pt>
                <c:pt idx="3">
                  <c:v>0.46</c:v>
                </c:pt>
                <c:pt idx="4">
                  <c:v>0.41</c:v>
                </c:pt>
                <c:pt idx="5">
                  <c:v>0.41</c:v>
                </c:pt>
                <c:pt idx="6">
                  <c:v>0.33</c:v>
                </c:pt>
                <c:pt idx="7">
                  <c:v>0.31</c:v>
                </c:pt>
              </c:numCache>
            </c:numRef>
          </c:val>
          <c:extLst>
            <c:ext xmlns:c16="http://schemas.microsoft.com/office/drawing/2014/chart" uri="{C3380CC4-5D6E-409C-BE32-E72D297353CC}">
              <c16:uniqueId val="{00000001-3518-4CF1-8B26-E28230AC49F5}"/>
            </c:ext>
          </c:extLst>
        </c:ser>
        <c:dLbls>
          <c:showLegendKey val="0"/>
          <c:showVal val="0"/>
          <c:showCatName val="0"/>
          <c:showSerName val="0"/>
          <c:showPercent val="0"/>
          <c:showBubbleSize val="0"/>
        </c:dLbls>
        <c:gapWidth val="150"/>
        <c:overlap val="100"/>
        <c:axId val="-1880235872"/>
        <c:axId val="-1880214656"/>
      </c:barChart>
      <c:catAx>
        <c:axId val="-1880235872"/>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1880214656"/>
        <c:crosses val="autoZero"/>
        <c:auto val="1"/>
        <c:lblAlgn val="ctr"/>
        <c:lblOffset val="100"/>
        <c:noMultiLvlLbl val="0"/>
      </c:catAx>
      <c:valAx>
        <c:axId val="-1880214656"/>
        <c:scaling>
          <c:orientation val="minMax"/>
        </c:scaling>
        <c:delete val="0"/>
        <c:axPos val="b"/>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188023587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clustered"/>
        <c:varyColors val="0"/>
        <c:ser>
          <c:idx val="0"/>
          <c:order val="0"/>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pl-PL"/>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Sheet2!$A$1:$A$11</c:f>
              <c:strCache>
                <c:ptCount val="11"/>
                <c:pt idx="0">
                  <c:v>Solar Photovoltaic</c:v>
                </c:pt>
                <c:pt idx="1">
                  <c:v>Liquid Biofuels</c:v>
                </c:pt>
                <c:pt idx="2">
                  <c:v>Hydropower</c:v>
                </c:pt>
                <c:pt idx="3">
                  <c:v>Wind Energy</c:v>
                </c:pt>
                <c:pt idx="4">
                  <c:v>Solar Heating/Cooling</c:v>
                </c:pt>
                <c:pt idx="5">
                  <c:v>Solid Biomass</c:v>
                </c:pt>
                <c:pt idx="6">
                  <c:v>Biogas</c:v>
                </c:pt>
                <c:pt idx="7">
                  <c:v>Geothermal Energy</c:v>
                </c:pt>
                <c:pt idx="8">
                  <c:v>Municipial and industrial waste</c:v>
                </c:pt>
                <c:pt idx="9">
                  <c:v>CSP</c:v>
                </c:pt>
                <c:pt idx="10">
                  <c:v>Tide, wave and ocean energy</c:v>
                </c:pt>
              </c:strCache>
            </c:strRef>
          </c:cat>
          <c:val>
            <c:numRef>
              <c:f>Sheet2!$B$1:$B$11</c:f>
              <c:numCache>
                <c:formatCode>General</c:formatCode>
                <c:ptCount val="11"/>
                <c:pt idx="0">
                  <c:v>3605</c:v>
                </c:pt>
                <c:pt idx="1">
                  <c:v>2063</c:v>
                </c:pt>
                <c:pt idx="2">
                  <c:v>2054</c:v>
                </c:pt>
                <c:pt idx="3">
                  <c:v>1160</c:v>
                </c:pt>
                <c:pt idx="4">
                  <c:v>801</c:v>
                </c:pt>
                <c:pt idx="5">
                  <c:v>787</c:v>
                </c:pt>
                <c:pt idx="6">
                  <c:v>334</c:v>
                </c:pt>
                <c:pt idx="7">
                  <c:v>94</c:v>
                </c:pt>
                <c:pt idx="8">
                  <c:v>41</c:v>
                </c:pt>
                <c:pt idx="9">
                  <c:v>34</c:v>
                </c:pt>
                <c:pt idx="10">
                  <c:v>1</c:v>
                </c:pt>
              </c:numCache>
            </c:numRef>
          </c:val>
          <c:extLst>
            <c:ext xmlns:c16="http://schemas.microsoft.com/office/drawing/2014/chart" uri="{C3380CC4-5D6E-409C-BE32-E72D297353CC}">
              <c16:uniqueId val="{00000000-0B5B-41D2-AA32-12565635D781}"/>
            </c:ext>
          </c:extLst>
        </c:ser>
        <c:dLbls>
          <c:showLegendKey val="0"/>
          <c:showVal val="0"/>
          <c:showCatName val="0"/>
          <c:showSerName val="0"/>
          <c:showPercent val="0"/>
          <c:showBubbleSize val="0"/>
        </c:dLbls>
        <c:gapWidth val="100"/>
        <c:axId val="-1751066688"/>
        <c:axId val="-1751055808"/>
      </c:barChart>
      <c:catAx>
        <c:axId val="-1751066688"/>
        <c:scaling>
          <c:orientation val="minMax"/>
        </c:scaling>
        <c:delete val="0"/>
        <c:axPos val="l"/>
        <c:numFmt formatCode="General" sourceLinked="1"/>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pl-PL"/>
          </a:p>
        </c:txPr>
        <c:crossAx val="-1751055808"/>
        <c:crosses val="autoZero"/>
        <c:auto val="1"/>
        <c:lblAlgn val="ctr"/>
        <c:lblOffset val="100"/>
        <c:noMultiLvlLbl val="0"/>
      </c:catAx>
      <c:valAx>
        <c:axId val="-1751055808"/>
        <c:scaling>
          <c:orientation val="minMax"/>
        </c:scaling>
        <c:delete val="0"/>
        <c:axPos val="b"/>
        <c:majorGridlines>
          <c:spPr>
            <a:ln w="9525" cap="flat" cmpd="sng" algn="ctr">
              <a:solidFill>
                <a:schemeClr val="tx2">
                  <a:lumMod val="15000"/>
                  <a:lumOff val="85000"/>
                </a:schemeClr>
              </a:solidFill>
              <a:round/>
            </a:ln>
            <a:effectLst/>
          </c:spPr>
        </c:majorGridlines>
        <c:title>
          <c:tx>
            <c:rich>
              <a:bodyPr rot="0" spcFirstLastPara="1" vertOverflow="ellipsis" vert="horz" wrap="square" anchor="ctr" anchorCtr="1"/>
              <a:lstStyle/>
              <a:p>
                <a:pPr>
                  <a:defRPr sz="900" b="1" i="0" u="none" strike="noStrike" kern="1200" baseline="0">
                    <a:solidFill>
                      <a:schemeClr val="tx2"/>
                    </a:solidFill>
                    <a:latin typeface="+mn-lt"/>
                    <a:ea typeface="+mn-ea"/>
                    <a:cs typeface="+mn-cs"/>
                  </a:defRPr>
                </a:pPr>
                <a:r>
                  <a:rPr lang="pl-PL"/>
                  <a:t>Prace w tysiącach</a:t>
                </a:r>
                <a:endParaRPr lang="en-GB"/>
              </a:p>
            </c:rich>
          </c:tx>
          <c:overlay val="0"/>
          <c:spPr>
            <a:noFill/>
            <a:ln>
              <a:noFill/>
            </a:ln>
            <a:effectLst/>
          </c:spPr>
          <c:txPr>
            <a:bodyPr rot="0" spcFirstLastPara="1" vertOverflow="ellipsis" vert="horz" wrap="square" anchor="ctr" anchorCtr="1"/>
            <a:lstStyle/>
            <a:p>
              <a:pPr>
                <a:defRPr sz="900" b="1" i="0" u="none" strike="noStrike" kern="1200" baseline="0">
                  <a:solidFill>
                    <a:schemeClr val="tx2"/>
                  </a:solidFill>
                  <a:latin typeface="+mn-lt"/>
                  <a:ea typeface="+mn-ea"/>
                  <a:cs typeface="+mn-cs"/>
                </a:defRPr>
              </a:pPr>
              <a:endParaRPr lang="pl-PL"/>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pl-PL"/>
          </a:p>
        </c:txPr>
        <c:crossAx val="-1751066688"/>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pl-PL" sz="1400" b="1" baseline="0"/>
              <a:t>Globalny udział źródeł energii odnawialnej w 2017 roku</a:t>
            </a:r>
            <a:endParaRPr lang="en-GB" sz="1400" b="1"/>
          </a:p>
        </c:rich>
      </c:tx>
      <c:layout>
        <c:manualLayout>
          <c:xMode val="edge"/>
          <c:yMode val="edge"/>
          <c:x val="0.20686614173228349"/>
          <c:y val="4.4336191959291997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pl-PL"/>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1E52-46E2-933B-953034B37EE8}"/>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1E52-46E2-933B-953034B37EE8}"/>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1E52-46E2-933B-953034B37EE8}"/>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07-1E52-46E2-933B-953034B37EE8}"/>
              </c:ext>
            </c:extLst>
          </c:dPt>
          <c:dPt>
            <c:idx val="4"/>
            <c:bubble3D val="0"/>
            <c:spPr>
              <a:solidFill>
                <a:schemeClr val="accent5"/>
              </a:solidFill>
              <a:ln w="19050">
                <a:solidFill>
                  <a:schemeClr val="lt1"/>
                </a:solidFill>
              </a:ln>
              <a:effectLst/>
            </c:spPr>
            <c:extLst>
              <c:ext xmlns:c16="http://schemas.microsoft.com/office/drawing/2014/chart" uri="{C3380CC4-5D6E-409C-BE32-E72D297353CC}">
                <c16:uniqueId val="{00000009-1E52-46E2-933B-953034B37EE8}"/>
              </c:ext>
            </c:extLst>
          </c:dPt>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ysClr val="windowText" lastClr="000000"/>
                    </a:solidFill>
                    <a:latin typeface="+mn-lt"/>
                    <a:ea typeface="+mn-ea"/>
                    <a:cs typeface="+mn-cs"/>
                  </a:defRPr>
                </a:pPr>
                <a:endParaRPr lang="pl-PL"/>
              </a:p>
            </c:txPr>
            <c:dLblPos val="outEnd"/>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Sheet3!$A$1:$A$5</c:f>
              <c:strCache>
                <c:ptCount val="5"/>
                <c:pt idx="0">
                  <c:v>Hydro</c:v>
                </c:pt>
                <c:pt idx="1">
                  <c:v>Wind</c:v>
                </c:pt>
                <c:pt idx="2">
                  <c:v>Bioenergy</c:v>
                </c:pt>
                <c:pt idx="3">
                  <c:v>Solar</c:v>
                </c:pt>
                <c:pt idx="4">
                  <c:v>Geothermal</c:v>
                </c:pt>
              </c:strCache>
            </c:strRef>
          </c:cat>
          <c:val>
            <c:numRef>
              <c:f>Sheet3!$B$1:$B$5</c:f>
              <c:numCache>
                <c:formatCode>0%</c:formatCode>
                <c:ptCount val="5"/>
                <c:pt idx="0">
                  <c:v>0.65</c:v>
                </c:pt>
                <c:pt idx="1">
                  <c:v>0.18</c:v>
                </c:pt>
                <c:pt idx="2">
                  <c:v>0.08</c:v>
                </c:pt>
                <c:pt idx="3">
                  <c:v>7.0000000000000007E-2</c:v>
                </c:pt>
                <c:pt idx="4">
                  <c:v>0.02</c:v>
                </c:pt>
              </c:numCache>
            </c:numRef>
          </c:val>
          <c:extLst>
            <c:ext xmlns:c16="http://schemas.microsoft.com/office/drawing/2014/chart" uri="{C3380CC4-5D6E-409C-BE32-E72D297353CC}">
              <c16:uniqueId val="{0000000A-1E52-46E2-933B-953034B37EE8}"/>
            </c:ext>
          </c:extLst>
        </c:ser>
        <c:dLbls>
          <c:showLegendKey val="0"/>
          <c:showVal val="0"/>
          <c:showCatName val="0"/>
          <c:showSerName val="0"/>
          <c:showPercent val="0"/>
          <c:showBubbleSize val="0"/>
          <c:showLeaderLines val="1"/>
        </c:dLbls>
        <c:firstSliceAng val="0"/>
      </c:pieChart>
      <c:spPr>
        <a:noFill/>
        <a:ln>
          <a:noFill/>
        </a:ln>
        <a:effectLst/>
      </c:spPr>
    </c:plotArea>
    <c:legend>
      <c:legendPos val="b"/>
      <c:layout>
        <c:manualLayout>
          <c:xMode val="edge"/>
          <c:yMode val="edge"/>
          <c:x val="0.17947735130894615"/>
          <c:y val="0.79122584607286195"/>
          <c:w val="0.67424330999215509"/>
          <c:h val="9.4011800057026307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pl-PL" sz="1400" b="1"/>
              <a:t>Ilość elektrowni</a:t>
            </a:r>
            <a:r>
              <a:rPr lang="pl-PL" sz="1400" b="1" baseline="0"/>
              <a:t> wodnych , dane na </a:t>
            </a:r>
            <a:r>
              <a:rPr lang="pl-PL" sz="1400" b="1"/>
              <a:t>2019 roku </a:t>
            </a:r>
            <a:endParaRPr lang="en-GB" sz="1400" b="1"/>
          </a:p>
        </c:rich>
      </c:tx>
      <c:layout>
        <c:manualLayout>
          <c:xMode val="edge"/>
          <c:yMode val="edge"/>
          <c:x val="0.27203455818022748"/>
          <c:y val="5.0925925925925923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pl-PL"/>
        </a:p>
      </c:txPr>
    </c:title>
    <c:autoTitleDeleted val="0"/>
    <c:plotArea>
      <c:layout>
        <c:manualLayout>
          <c:layoutTarget val="inner"/>
          <c:xMode val="edge"/>
          <c:yMode val="edge"/>
          <c:x val="0.40689610673665788"/>
          <c:y val="0.19949074074074077"/>
          <c:w val="0.42787467191601047"/>
          <c:h val="0.71312445319335083"/>
        </c:manualLayout>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ADEC-43AC-84CE-AAED30B485DE}"/>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ADEC-43AC-84CE-AAED30B485DE}"/>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ADEC-43AC-84CE-AAED30B485DE}"/>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07-ADEC-43AC-84CE-AAED30B485DE}"/>
              </c:ext>
            </c:extLst>
          </c:dPt>
          <c:dPt>
            <c:idx val="4"/>
            <c:bubble3D val="0"/>
            <c:spPr>
              <a:solidFill>
                <a:schemeClr val="accent5"/>
              </a:solidFill>
              <a:ln w="19050">
                <a:solidFill>
                  <a:schemeClr val="lt1"/>
                </a:solidFill>
              </a:ln>
              <a:effectLst/>
            </c:spPr>
            <c:extLst>
              <c:ext xmlns:c16="http://schemas.microsoft.com/office/drawing/2014/chart" uri="{C3380CC4-5D6E-409C-BE32-E72D297353CC}">
                <c16:uniqueId val="{00000009-ADEC-43AC-84CE-AAED30B485DE}"/>
              </c:ext>
            </c:extLst>
          </c:dPt>
          <c:dPt>
            <c:idx val="5"/>
            <c:bubble3D val="0"/>
            <c:spPr>
              <a:solidFill>
                <a:schemeClr val="accent6"/>
              </a:solidFill>
              <a:ln w="19050">
                <a:solidFill>
                  <a:schemeClr val="lt1"/>
                </a:solidFill>
              </a:ln>
              <a:effectLst/>
            </c:spPr>
            <c:extLst>
              <c:ext xmlns:c16="http://schemas.microsoft.com/office/drawing/2014/chart" uri="{C3380CC4-5D6E-409C-BE32-E72D297353CC}">
                <c16:uniqueId val="{0000000B-ADEC-43AC-84CE-AAED30B485DE}"/>
              </c:ext>
            </c:extLst>
          </c:dPt>
          <c:dPt>
            <c:idx val="6"/>
            <c:bubble3D val="0"/>
            <c:spPr>
              <a:solidFill>
                <a:schemeClr val="accent1">
                  <a:lumMod val="60000"/>
                </a:schemeClr>
              </a:solidFill>
              <a:ln w="19050">
                <a:solidFill>
                  <a:schemeClr val="lt1"/>
                </a:solidFill>
              </a:ln>
              <a:effectLst/>
            </c:spPr>
            <c:extLst>
              <c:ext xmlns:c16="http://schemas.microsoft.com/office/drawing/2014/chart" uri="{C3380CC4-5D6E-409C-BE32-E72D297353CC}">
                <c16:uniqueId val="{0000000D-ADEC-43AC-84CE-AAED30B485DE}"/>
              </c:ext>
            </c:extLst>
          </c:dPt>
          <c:dPt>
            <c:idx val="7"/>
            <c:bubble3D val="0"/>
            <c:spPr>
              <a:solidFill>
                <a:schemeClr val="accent2">
                  <a:lumMod val="60000"/>
                </a:schemeClr>
              </a:solidFill>
              <a:ln w="19050">
                <a:solidFill>
                  <a:schemeClr val="lt1"/>
                </a:solidFill>
              </a:ln>
              <a:effectLst/>
            </c:spPr>
            <c:extLst>
              <c:ext xmlns:c16="http://schemas.microsoft.com/office/drawing/2014/chart" uri="{C3380CC4-5D6E-409C-BE32-E72D297353CC}">
                <c16:uniqueId val="{0000000F-ADEC-43AC-84CE-AAED30B485DE}"/>
              </c:ext>
            </c:extLst>
          </c:dPt>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bg1"/>
                    </a:solidFill>
                    <a:latin typeface="+mn-lt"/>
                    <a:ea typeface="+mn-ea"/>
                    <a:cs typeface="+mn-cs"/>
                  </a:defRPr>
                </a:pPr>
                <a:endParaRPr lang="pl-PL"/>
              </a:p>
            </c:txPr>
            <c:dLblPos val="bestFit"/>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Sheet4!$A$1:$A$8</c:f>
              <c:strCache>
                <c:ptCount val="8"/>
                <c:pt idx="0">
                  <c:v>China</c:v>
                </c:pt>
                <c:pt idx="1">
                  <c:v>Brazil</c:v>
                </c:pt>
                <c:pt idx="2">
                  <c:v>United States</c:v>
                </c:pt>
                <c:pt idx="3">
                  <c:v>Canada</c:v>
                </c:pt>
                <c:pt idx="4">
                  <c:v>Japan</c:v>
                </c:pt>
                <c:pt idx="5">
                  <c:v>India</c:v>
                </c:pt>
                <c:pt idx="6">
                  <c:v>Russia</c:v>
                </c:pt>
                <c:pt idx="7">
                  <c:v>Rest of the world</c:v>
                </c:pt>
              </c:strCache>
            </c:strRef>
          </c:cat>
          <c:val>
            <c:numRef>
              <c:f>Sheet4!$B$1:$B$8</c:f>
              <c:numCache>
                <c:formatCode>General</c:formatCode>
                <c:ptCount val="8"/>
                <c:pt idx="0">
                  <c:v>352</c:v>
                </c:pt>
                <c:pt idx="1">
                  <c:v>104</c:v>
                </c:pt>
                <c:pt idx="2">
                  <c:v>103</c:v>
                </c:pt>
                <c:pt idx="3">
                  <c:v>81</c:v>
                </c:pt>
                <c:pt idx="4">
                  <c:v>50</c:v>
                </c:pt>
                <c:pt idx="5">
                  <c:v>50</c:v>
                </c:pt>
                <c:pt idx="6">
                  <c:v>49</c:v>
                </c:pt>
                <c:pt idx="7">
                  <c:v>503</c:v>
                </c:pt>
              </c:numCache>
            </c:numRef>
          </c:val>
          <c:extLst>
            <c:ext xmlns:c16="http://schemas.microsoft.com/office/drawing/2014/chart" uri="{C3380CC4-5D6E-409C-BE32-E72D297353CC}">
              <c16:uniqueId val="{00000010-ADEC-43AC-84CE-AAED30B485DE}"/>
            </c:ext>
          </c:extLst>
        </c:ser>
        <c:dLbls>
          <c:dLblPos val="bestFit"/>
          <c:showLegendKey val="0"/>
          <c:showVal val="1"/>
          <c:showCatName val="0"/>
          <c:showSerName val="0"/>
          <c:showPercent val="0"/>
          <c:showBubbleSize val="0"/>
          <c:showLeaderLines val="1"/>
        </c:dLbls>
        <c:firstSliceAng val="0"/>
      </c:pieChart>
      <c:spPr>
        <a:noFill/>
        <a:ln>
          <a:noFill/>
        </a:ln>
        <a:effectLst/>
      </c:spPr>
    </c:plotArea>
    <c:legend>
      <c:legendPos val="b"/>
      <c:layout>
        <c:manualLayout>
          <c:xMode val="edge"/>
          <c:yMode val="edge"/>
          <c:x val="1.9444444444444445E-2"/>
          <c:y val="7.0022601341498986E-2"/>
          <c:w val="0.27777777777777779"/>
          <c:h val="0.8605329542140566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pl-PL" b="1"/>
              <a:t>Koszt panelu fotowoltaicznego </a:t>
            </a:r>
            <a:r>
              <a:rPr lang="en-GB" b="1"/>
              <a:t>(</a:t>
            </a:r>
            <a:r>
              <a:rPr lang="pl-PL" b="1"/>
              <a:t>1976-2016)</a:t>
            </a:r>
            <a:endParaRPr lang="en-GB" b="1"/>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pl-PL"/>
        </a:p>
      </c:txPr>
    </c:title>
    <c:autoTitleDeleted val="0"/>
    <c:plotArea>
      <c:layout/>
      <c:barChart>
        <c:barDir val="col"/>
        <c:grouping val="clustered"/>
        <c:varyColors val="0"/>
        <c:ser>
          <c:idx val="0"/>
          <c:order val="0"/>
          <c:tx>
            <c:strRef>
              <c:f>'solar-pv-prices'!$B$1</c:f>
              <c:strCache>
                <c:ptCount val="1"/>
                <c:pt idx="0">
                  <c:v>Solar PV Module Cost (2016 $ per watt-peak (2016 $/Wp))</c:v>
                </c:pt>
              </c:strCache>
            </c:strRef>
          </c:tx>
          <c:spPr>
            <a:solidFill>
              <a:schemeClr val="accent1"/>
            </a:solidFill>
            <a:ln>
              <a:noFill/>
            </a:ln>
            <a:effectLst/>
          </c:spPr>
          <c:invertIfNegative val="0"/>
          <c:cat>
            <c:numRef>
              <c:f>'solar-pv-prices'!$A$2:$A$42</c:f>
              <c:numCache>
                <c:formatCode>General</c:formatCode>
                <c:ptCount val="41"/>
                <c:pt idx="0">
                  <c:v>1976</c:v>
                </c:pt>
                <c:pt idx="1">
                  <c:v>1977</c:v>
                </c:pt>
                <c:pt idx="2">
                  <c:v>1978</c:v>
                </c:pt>
                <c:pt idx="3">
                  <c:v>1979</c:v>
                </c:pt>
                <c:pt idx="4">
                  <c:v>1980</c:v>
                </c:pt>
                <c:pt idx="5">
                  <c:v>1981</c:v>
                </c:pt>
                <c:pt idx="6">
                  <c:v>1982</c:v>
                </c:pt>
                <c:pt idx="7">
                  <c:v>1983</c:v>
                </c:pt>
                <c:pt idx="8">
                  <c:v>1984</c:v>
                </c:pt>
                <c:pt idx="9">
                  <c:v>1985</c:v>
                </c:pt>
                <c:pt idx="10">
                  <c:v>1986</c:v>
                </c:pt>
                <c:pt idx="11">
                  <c:v>1987</c:v>
                </c:pt>
                <c:pt idx="12">
                  <c:v>1988</c:v>
                </c:pt>
                <c:pt idx="13">
                  <c:v>1989</c:v>
                </c:pt>
                <c:pt idx="14">
                  <c:v>1990</c:v>
                </c:pt>
                <c:pt idx="15">
                  <c:v>1991</c:v>
                </c:pt>
                <c:pt idx="16">
                  <c:v>1992</c:v>
                </c:pt>
                <c:pt idx="17">
                  <c:v>1993</c:v>
                </c:pt>
                <c:pt idx="18">
                  <c:v>1994</c:v>
                </c:pt>
                <c:pt idx="19">
                  <c:v>1995</c:v>
                </c:pt>
                <c:pt idx="20">
                  <c:v>1996</c:v>
                </c:pt>
                <c:pt idx="21">
                  <c:v>1997</c:v>
                </c:pt>
                <c:pt idx="22">
                  <c:v>1998</c:v>
                </c:pt>
                <c:pt idx="23">
                  <c:v>1999</c:v>
                </c:pt>
                <c:pt idx="24">
                  <c:v>2000</c:v>
                </c:pt>
                <c:pt idx="25">
                  <c:v>2001</c:v>
                </c:pt>
                <c:pt idx="26">
                  <c:v>2002</c:v>
                </c:pt>
                <c:pt idx="27">
                  <c:v>2003</c:v>
                </c:pt>
                <c:pt idx="28">
                  <c:v>2004</c:v>
                </c:pt>
                <c:pt idx="29">
                  <c:v>2005</c:v>
                </c:pt>
                <c:pt idx="30">
                  <c:v>2006</c:v>
                </c:pt>
                <c:pt idx="31">
                  <c:v>2007</c:v>
                </c:pt>
                <c:pt idx="32">
                  <c:v>2008</c:v>
                </c:pt>
                <c:pt idx="33">
                  <c:v>2009</c:v>
                </c:pt>
                <c:pt idx="34">
                  <c:v>2010</c:v>
                </c:pt>
                <c:pt idx="35">
                  <c:v>2011</c:v>
                </c:pt>
                <c:pt idx="36">
                  <c:v>2012</c:v>
                </c:pt>
                <c:pt idx="37">
                  <c:v>2013</c:v>
                </c:pt>
                <c:pt idx="38">
                  <c:v>2014</c:v>
                </c:pt>
                <c:pt idx="39">
                  <c:v>2015</c:v>
                </c:pt>
                <c:pt idx="40">
                  <c:v>2016</c:v>
                </c:pt>
              </c:numCache>
            </c:numRef>
          </c:cat>
          <c:val>
            <c:numRef>
              <c:f>'solar-pv-prices'!$B$2:$B$42</c:f>
              <c:numCache>
                <c:formatCode>General</c:formatCode>
                <c:ptCount val="41"/>
                <c:pt idx="0">
                  <c:v>66.104835089999995</c:v>
                </c:pt>
                <c:pt idx="1">
                  <c:v>46.440539190000003</c:v>
                </c:pt>
                <c:pt idx="2">
                  <c:v>33.282687770000003</c:v>
                </c:pt>
                <c:pt idx="3">
                  <c:v>29.69249275</c:v>
                </c:pt>
                <c:pt idx="4">
                  <c:v>23.755360759999999</c:v>
                </c:pt>
                <c:pt idx="5">
                  <c:v>17.918799719999999</c:v>
                </c:pt>
                <c:pt idx="6">
                  <c:v>18.032817779999998</c:v>
                </c:pt>
                <c:pt idx="7">
                  <c:v>16.843944430000001</c:v>
                </c:pt>
                <c:pt idx="8">
                  <c:v>13.717773490000001</c:v>
                </c:pt>
                <c:pt idx="9">
                  <c:v>12.49436648</c:v>
                </c:pt>
                <c:pt idx="10">
                  <c:v>11.688438</c:v>
                </c:pt>
                <c:pt idx="11">
                  <c:v>9.801145644</c:v>
                </c:pt>
                <c:pt idx="12">
                  <c:v>9.7328734630000007</c:v>
                </c:pt>
                <c:pt idx="13">
                  <c:v>9.7899546500000003</c:v>
                </c:pt>
                <c:pt idx="14">
                  <c:v>10.009798719999999</c:v>
                </c:pt>
                <c:pt idx="15">
                  <c:v>9.2940414239999996</c:v>
                </c:pt>
                <c:pt idx="16">
                  <c:v>8.7790856529999992</c:v>
                </c:pt>
                <c:pt idx="17">
                  <c:v>7.8227451410000004</c:v>
                </c:pt>
                <c:pt idx="18">
                  <c:v>7.6450519779999997</c:v>
                </c:pt>
                <c:pt idx="19">
                  <c:v>7.0702964640000001</c:v>
                </c:pt>
                <c:pt idx="20">
                  <c:v>5.880830563</c:v>
                </c:pt>
                <c:pt idx="21">
                  <c:v>5.8235685630000003</c:v>
                </c:pt>
                <c:pt idx="22">
                  <c:v>4.8927918330000004</c:v>
                </c:pt>
                <c:pt idx="23">
                  <c:v>4.4797167160000004</c:v>
                </c:pt>
                <c:pt idx="24">
                  <c:v>3.650031142</c:v>
                </c:pt>
                <c:pt idx="25">
                  <c:v>3.4387699550000002</c:v>
                </c:pt>
                <c:pt idx="26">
                  <c:v>3.5146111150000001</c:v>
                </c:pt>
                <c:pt idx="27">
                  <c:v>3.3207727519999999</c:v>
                </c:pt>
                <c:pt idx="28">
                  <c:v>3.5367933210000002</c:v>
                </c:pt>
                <c:pt idx="29">
                  <c:v>3.5801574239999998</c:v>
                </c:pt>
                <c:pt idx="30">
                  <c:v>3.8859214020000001</c:v>
                </c:pt>
                <c:pt idx="31">
                  <c:v>3.9080588490000001</c:v>
                </c:pt>
                <c:pt idx="32">
                  <c:v>3.5588564229999999</c:v>
                </c:pt>
                <c:pt idx="33">
                  <c:v>2.3692676000000001</c:v>
                </c:pt>
                <c:pt idx="34">
                  <c:v>1.589153601</c:v>
                </c:pt>
                <c:pt idx="35">
                  <c:v>1.441280262</c:v>
                </c:pt>
                <c:pt idx="36">
                  <c:v>0.77472840799999998</c:v>
                </c:pt>
                <c:pt idx="37">
                  <c:v>0.82330228400000005</c:v>
                </c:pt>
                <c:pt idx="38">
                  <c:v>0.71</c:v>
                </c:pt>
                <c:pt idx="39">
                  <c:v>0.66</c:v>
                </c:pt>
                <c:pt idx="40">
                  <c:v>0.62</c:v>
                </c:pt>
              </c:numCache>
            </c:numRef>
          </c:val>
          <c:extLst>
            <c:ext xmlns:c16="http://schemas.microsoft.com/office/drawing/2014/chart" uri="{C3380CC4-5D6E-409C-BE32-E72D297353CC}">
              <c16:uniqueId val="{00000000-4C1A-4BFA-9370-937EAB90E4D0}"/>
            </c:ext>
          </c:extLst>
        </c:ser>
        <c:dLbls>
          <c:showLegendKey val="0"/>
          <c:showVal val="0"/>
          <c:showCatName val="0"/>
          <c:showSerName val="0"/>
          <c:showPercent val="0"/>
          <c:showBubbleSize val="0"/>
        </c:dLbls>
        <c:gapWidth val="219"/>
        <c:overlap val="-27"/>
        <c:axId val="-1751055264"/>
        <c:axId val="-1751069408"/>
      </c:barChart>
      <c:catAx>
        <c:axId val="-175105526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1751069408"/>
        <c:crosses val="autoZero"/>
        <c:auto val="1"/>
        <c:lblAlgn val="ctr"/>
        <c:lblOffset val="100"/>
        <c:noMultiLvlLbl val="0"/>
      </c:catAx>
      <c:valAx>
        <c:axId val="-1751069408"/>
        <c:scaling>
          <c:orientation val="minMax"/>
        </c:scaling>
        <c:delete val="0"/>
        <c:axPos val="l"/>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1751055264"/>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pl-PL" b="1"/>
              <a:t>Światowe trendy w inwestycjach</a:t>
            </a:r>
            <a:r>
              <a:rPr lang="pl-PL" b="1" baseline="0"/>
              <a:t> odnawialnych</a:t>
            </a:r>
            <a:endParaRPr lang="en-GB" b="1"/>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pl-PL"/>
        </a:p>
      </c:txPr>
    </c:title>
    <c:autoTitleDeleted val="0"/>
    <c:plotArea>
      <c:layout/>
      <c:barChart>
        <c:barDir val="col"/>
        <c:grouping val="stacked"/>
        <c:varyColors val="0"/>
        <c:ser>
          <c:idx val="0"/>
          <c:order val="0"/>
          <c:tx>
            <c:strRef>
              <c:f>Sheet1!$D$2</c:f>
              <c:strCache>
                <c:ptCount val="1"/>
                <c:pt idx="0">
                  <c:v>Biomass &amp; Waste-to-Energy</c:v>
                </c:pt>
              </c:strCache>
            </c:strRef>
          </c:tx>
          <c:spPr>
            <a:solidFill>
              <a:schemeClr val="accent1"/>
            </a:solidFill>
            <a:ln>
              <a:noFill/>
            </a:ln>
            <a:effectLst/>
          </c:spPr>
          <c:invertIfNegative val="0"/>
          <c:cat>
            <c:numRef>
              <c:f>Sheet1!$E$1:$S$1</c:f>
              <c:numCache>
                <c:formatCode>General</c:formatCode>
                <c:ptCount val="15"/>
                <c:pt idx="0">
                  <c:v>2004</c:v>
                </c:pt>
                <c:pt idx="1">
                  <c:v>2005</c:v>
                </c:pt>
                <c:pt idx="2">
                  <c:v>2006</c:v>
                </c:pt>
                <c:pt idx="3">
                  <c:v>2007</c:v>
                </c:pt>
                <c:pt idx="4">
                  <c:v>2008</c:v>
                </c:pt>
                <c:pt idx="5">
                  <c:v>2009</c:v>
                </c:pt>
                <c:pt idx="6">
                  <c:v>2010</c:v>
                </c:pt>
                <c:pt idx="7">
                  <c:v>2011</c:v>
                </c:pt>
                <c:pt idx="8">
                  <c:v>2012</c:v>
                </c:pt>
                <c:pt idx="9">
                  <c:v>2013</c:v>
                </c:pt>
                <c:pt idx="10">
                  <c:v>2014</c:v>
                </c:pt>
                <c:pt idx="11">
                  <c:v>2015</c:v>
                </c:pt>
                <c:pt idx="12">
                  <c:v>2016</c:v>
                </c:pt>
                <c:pt idx="13">
                  <c:v>2017</c:v>
                </c:pt>
                <c:pt idx="14">
                  <c:v>2018</c:v>
                </c:pt>
              </c:numCache>
            </c:numRef>
          </c:cat>
          <c:val>
            <c:numRef>
              <c:f>Sheet1!$E$2:$S$2</c:f>
              <c:numCache>
                <c:formatCode>General</c:formatCode>
                <c:ptCount val="15"/>
                <c:pt idx="0">
                  <c:v>7.9</c:v>
                </c:pt>
                <c:pt idx="1">
                  <c:v>9.3000000000000007</c:v>
                </c:pt>
                <c:pt idx="2">
                  <c:v>12</c:v>
                </c:pt>
                <c:pt idx="3">
                  <c:v>15.9</c:v>
                </c:pt>
                <c:pt idx="4">
                  <c:v>16.2</c:v>
                </c:pt>
                <c:pt idx="5">
                  <c:v>13.4</c:v>
                </c:pt>
                <c:pt idx="6">
                  <c:v>17.3</c:v>
                </c:pt>
                <c:pt idx="7">
                  <c:v>20.9</c:v>
                </c:pt>
                <c:pt idx="8">
                  <c:v>15.4</c:v>
                </c:pt>
                <c:pt idx="9">
                  <c:v>14.6</c:v>
                </c:pt>
                <c:pt idx="10">
                  <c:v>12.9</c:v>
                </c:pt>
                <c:pt idx="11">
                  <c:v>10.3</c:v>
                </c:pt>
                <c:pt idx="12">
                  <c:v>13.6</c:v>
                </c:pt>
                <c:pt idx="13">
                  <c:v>5.7</c:v>
                </c:pt>
                <c:pt idx="14">
                  <c:v>9.3000000000000007</c:v>
                </c:pt>
              </c:numCache>
            </c:numRef>
          </c:val>
          <c:extLst>
            <c:ext xmlns:c16="http://schemas.microsoft.com/office/drawing/2014/chart" uri="{C3380CC4-5D6E-409C-BE32-E72D297353CC}">
              <c16:uniqueId val="{00000000-6475-48D6-A590-FBE75AA49313}"/>
            </c:ext>
          </c:extLst>
        </c:ser>
        <c:ser>
          <c:idx val="1"/>
          <c:order val="1"/>
          <c:tx>
            <c:strRef>
              <c:f>Sheet1!$D$3</c:f>
              <c:strCache>
                <c:ptCount val="1"/>
                <c:pt idx="0">
                  <c:v>Geothermal energy</c:v>
                </c:pt>
              </c:strCache>
            </c:strRef>
          </c:tx>
          <c:spPr>
            <a:solidFill>
              <a:schemeClr val="accent2"/>
            </a:solidFill>
            <a:ln>
              <a:noFill/>
            </a:ln>
            <a:effectLst/>
          </c:spPr>
          <c:invertIfNegative val="0"/>
          <c:cat>
            <c:numRef>
              <c:f>Sheet1!$E$1:$S$1</c:f>
              <c:numCache>
                <c:formatCode>General</c:formatCode>
                <c:ptCount val="15"/>
                <c:pt idx="0">
                  <c:v>2004</c:v>
                </c:pt>
                <c:pt idx="1">
                  <c:v>2005</c:v>
                </c:pt>
                <c:pt idx="2">
                  <c:v>2006</c:v>
                </c:pt>
                <c:pt idx="3">
                  <c:v>2007</c:v>
                </c:pt>
                <c:pt idx="4">
                  <c:v>2008</c:v>
                </c:pt>
                <c:pt idx="5">
                  <c:v>2009</c:v>
                </c:pt>
                <c:pt idx="6">
                  <c:v>2010</c:v>
                </c:pt>
                <c:pt idx="7">
                  <c:v>2011</c:v>
                </c:pt>
                <c:pt idx="8">
                  <c:v>2012</c:v>
                </c:pt>
                <c:pt idx="9">
                  <c:v>2013</c:v>
                </c:pt>
                <c:pt idx="10">
                  <c:v>2014</c:v>
                </c:pt>
                <c:pt idx="11">
                  <c:v>2015</c:v>
                </c:pt>
                <c:pt idx="12">
                  <c:v>2016</c:v>
                </c:pt>
                <c:pt idx="13">
                  <c:v>2017</c:v>
                </c:pt>
                <c:pt idx="14">
                  <c:v>2018</c:v>
                </c:pt>
              </c:numCache>
            </c:numRef>
          </c:cat>
          <c:val>
            <c:numRef>
              <c:f>Sheet1!$E$3:$S$3</c:f>
              <c:numCache>
                <c:formatCode>General</c:formatCode>
                <c:ptCount val="15"/>
                <c:pt idx="0">
                  <c:v>1.1000000000000001</c:v>
                </c:pt>
                <c:pt idx="1">
                  <c:v>0.8</c:v>
                </c:pt>
                <c:pt idx="2">
                  <c:v>1.3</c:v>
                </c:pt>
                <c:pt idx="3">
                  <c:v>1.7</c:v>
                </c:pt>
                <c:pt idx="4">
                  <c:v>1.7</c:v>
                </c:pt>
                <c:pt idx="5">
                  <c:v>2.5</c:v>
                </c:pt>
                <c:pt idx="6">
                  <c:v>2.8</c:v>
                </c:pt>
                <c:pt idx="7">
                  <c:v>3.8</c:v>
                </c:pt>
                <c:pt idx="8">
                  <c:v>1.7</c:v>
                </c:pt>
                <c:pt idx="9">
                  <c:v>2.7</c:v>
                </c:pt>
                <c:pt idx="10">
                  <c:v>2.9</c:v>
                </c:pt>
                <c:pt idx="11">
                  <c:v>2.5</c:v>
                </c:pt>
                <c:pt idx="12">
                  <c:v>2.7</c:v>
                </c:pt>
                <c:pt idx="13">
                  <c:v>2.2999999999999998</c:v>
                </c:pt>
                <c:pt idx="14">
                  <c:v>2.2999999999999998</c:v>
                </c:pt>
              </c:numCache>
            </c:numRef>
          </c:val>
          <c:extLst>
            <c:ext xmlns:c16="http://schemas.microsoft.com/office/drawing/2014/chart" uri="{C3380CC4-5D6E-409C-BE32-E72D297353CC}">
              <c16:uniqueId val="{00000001-6475-48D6-A590-FBE75AA49313}"/>
            </c:ext>
          </c:extLst>
        </c:ser>
        <c:ser>
          <c:idx val="2"/>
          <c:order val="2"/>
          <c:tx>
            <c:strRef>
              <c:f>Sheet1!$D$4</c:f>
              <c:strCache>
                <c:ptCount val="1"/>
                <c:pt idx="0">
                  <c:v>Liquid Biofuels</c:v>
                </c:pt>
              </c:strCache>
            </c:strRef>
          </c:tx>
          <c:spPr>
            <a:solidFill>
              <a:schemeClr val="accent3"/>
            </a:solidFill>
            <a:ln>
              <a:noFill/>
            </a:ln>
            <a:effectLst/>
          </c:spPr>
          <c:invertIfNegative val="0"/>
          <c:cat>
            <c:numRef>
              <c:f>Sheet1!$E$1:$S$1</c:f>
              <c:numCache>
                <c:formatCode>General</c:formatCode>
                <c:ptCount val="15"/>
                <c:pt idx="0">
                  <c:v>2004</c:v>
                </c:pt>
                <c:pt idx="1">
                  <c:v>2005</c:v>
                </c:pt>
                <c:pt idx="2">
                  <c:v>2006</c:v>
                </c:pt>
                <c:pt idx="3">
                  <c:v>2007</c:v>
                </c:pt>
                <c:pt idx="4">
                  <c:v>2008</c:v>
                </c:pt>
                <c:pt idx="5">
                  <c:v>2009</c:v>
                </c:pt>
                <c:pt idx="6">
                  <c:v>2010</c:v>
                </c:pt>
                <c:pt idx="7">
                  <c:v>2011</c:v>
                </c:pt>
                <c:pt idx="8">
                  <c:v>2012</c:v>
                </c:pt>
                <c:pt idx="9">
                  <c:v>2013</c:v>
                </c:pt>
                <c:pt idx="10">
                  <c:v>2014</c:v>
                </c:pt>
                <c:pt idx="11">
                  <c:v>2015</c:v>
                </c:pt>
                <c:pt idx="12">
                  <c:v>2016</c:v>
                </c:pt>
                <c:pt idx="13">
                  <c:v>2017</c:v>
                </c:pt>
                <c:pt idx="14">
                  <c:v>2018</c:v>
                </c:pt>
              </c:numCache>
            </c:numRef>
          </c:cat>
          <c:val>
            <c:numRef>
              <c:f>Sheet1!$E$4:$S$4</c:f>
              <c:numCache>
                <c:formatCode>General</c:formatCode>
                <c:ptCount val="15"/>
                <c:pt idx="0">
                  <c:v>3.9</c:v>
                </c:pt>
                <c:pt idx="1">
                  <c:v>9.8000000000000007</c:v>
                </c:pt>
                <c:pt idx="2">
                  <c:v>26.2</c:v>
                </c:pt>
                <c:pt idx="3">
                  <c:v>26.4</c:v>
                </c:pt>
                <c:pt idx="4">
                  <c:v>17.600000000000001</c:v>
                </c:pt>
                <c:pt idx="5">
                  <c:v>9.4</c:v>
                </c:pt>
                <c:pt idx="6">
                  <c:v>10.1</c:v>
                </c:pt>
                <c:pt idx="7">
                  <c:v>10.4</c:v>
                </c:pt>
                <c:pt idx="8">
                  <c:v>7.7</c:v>
                </c:pt>
                <c:pt idx="9">
                  <c:v>5.0999999999999996</c:v>
                </c:pt>
                <c:pt idx="10">
                  <c:v>5.5</c:v>
                </c:pt>
                <c:pt idx="11">
                  <c:v>3.6</c:v>
                </c:pt>
                <c:pt idx="12">
                  <c:v>2.1</c:v>
                </c:pt>
                <c:pt idx="13">
                  <c:v>3.2</c:v>
                </c:pt>
                <c:pt idx="14">
                  <c:v>3</c:v>
                </c:pt>
              </c:numCache>
            </c:numRef>
          </c:val>
          <c:extLst>
            <c:ext xmlns:c16="http://schemas.microsoft.com/office/drawing/2014/chart" uri="{C3380CC4-5D6E-409C-BE32-E72D297353CC}">
              <c16:uniqueId val="{00000002-6475-48D6-A590-FBE75AA49313}"/>
            </c:ext>
          </c:extLst>
        </c:ser>
        <c:ser>
          <c:idx val="3"/>
          <c:order val="3"/>
          <c:tx>
            <c:strRef>
              <c:f>Sheet1!$D$5</c:f>
              <c:strCache>
                <c:ptCount val="1"/>
                <c:pt idx="0">
                  <c:v>Small hydropower</c:v>
                </c:pt>
              </c:strCache>
            </c:strRef>
          </c:tx>
          <c:spPr>
            <a:solidFill>
              <a:schemeClr val="accent4"/>
            </a:solidFill>
            <a:ln>
              <a:noFill/>
            </a:ln>
            <a:effectLst/>
          </c:spPr>
          <c:invertIfNegative val="0"/>
          <c:cat>
            <c:numRef>
              <c:f>Sheet1!$E$1:$S$1</c:f>
              <c:numCache>
                <c:formatCode>General</c:formatCode>
                <c:ptCount val="15"/>
                <c:pt idx="0">
                  <c:v>2004</c:v>
                </c:pt>
                <c:pt idx="1">
                  <c:v>2005</c:v>
                </c:pt>
                <c:pt idx="2">
                  <c:v>2006</c:v>
                </c:pt>
                <c:pt idx="3">
                  <c:v>2007</c:v>
                </c:pt>
                <c:pt idx="4">
                  <c:v>2008</c:v>
                </c:pt>
                <c:pt idx="5">
                  <c:v>2009</c:v>
                </c:pt>
                <c:pt idx="6">
                  <c:v>2010</c:v>
                </c:pt>
                <c:pt idx="7">
                  <c:v>2011</c:v>
                </c:pt>
                <c:pt idx="8">
                  <c:v>2012</c:v>
                </c:pt>
                <c:pt idx="9">
                  <c:v>2013</c:v>
                </c:pt>
                <c:pt idx="10">
                  <c:v>2014</c:v>
                </c:pt>
                <c:pt idx="11">
                  <c:v>2015</c:v>
                </c:pt>
                <c:pt idx="12">
                  <c:v>2016</c:v>
                </c:pt>
                <c:pt idx="13">
                  <c:v>2017</c:v>
                </c:pt>
                <c:pt idx="14">
                  <c:v>2018</c:v>
                </c:pt>
              </c:numCache>
            </c:numRef>
          </c:cat>
          <c:val>
            <c:numRef>
              <c:f>Sheet1!$E$5:$S$5</c:f>
              <c:numCache>
                <c:formatCode>General</c:formatCode>
                <c:ptCount val="15"/>
                <c:pt idx="0">
                  <c:v>2.8</c:v>
                </c:pt>
                <c:pt idx="1">
                  <c:v>7.4</c:v>
                </c:pt>
                <c:pt idx="2">
                  <c:v>6.8</c:v>
                </c:pt>
                <c:pt idx="3">
                  <c:v>6.4</c:v>
                </c:pt>
                <c:pt idx="4">
                  <c:v>7.6</c:v>
                </c:pt>
                <c:pt idx="5">
                  <c:v>5.9</c:v>
                </c:pt>
                <c:pt idx="6">
                  <c:v>8.1999999999999993</c:v>
                </c:pt>
                <c:pt idx="7">
                  <c:v>7.7</c:v>
                </c:pt>
                <c:pt idx="8">
                  <c:v>6.3</c:v>
                </c:pt>
                <c:pt idx="9">
                  <c:v>58.7</c:v>
                </c:pt>
                <c:pt idx="10">
                  <c:v>7.4</c:v>
                </c:pt>
                <c:pt idx="11">
                  <c:v>4</c:v>
                </c:pt>
                <c:pt idx="12">
                  <c:v>4.4000000000000004</c:v>
                </c:pt>
                <c:pt idx="13">
                  <c:v>3.8</c:v>
                </c:pt>
                <c:pt idx="14">
                  <c:v>0.9</c:v>
                </c:pt>
              </c:numCache>
            </c:numRef>
          </c:val>
          <c:extLst>
            <c:ext xmlns:c16="http://schemas.microsoft.com/office/drawing/2014/chart" uri="{C3380CC4-5D6E-409C-BE32-E72D297353CC}">
              <c16:uniqueId val="{00000003-6475-48D6-A590-FBE75AA49313}"/>
            </c:ext>
          </c:extLst>
        </c:ser>
        <c:ser>
          <c:idx val="4"/>
          <c:order val="4"/>
          <c:tx>
            <c:strRef>
              <c:f>Sheet1!$D$6</c:f>
              <c:strCache>
                <c:ptCount val="1"/>
                <c:pt idx="0">
                  <c:v>Solar Energy</c:v>
                </c:pt>
              </c:strCache>
            </c:strRef>
          </c:tx>
          <c:spPr>
            <a:solidFill>
              <a:srgbClr val="FFFF00"/>
            </a:solidFill>
            <a:ln>
              <a:noFill/>
            </a:ln>
            <a:effectLst/>
          </c:spPr>
          <c:invertIfNegative val="0"/>
          <c:cat>
            <c:numRef>
              <c:f>Sheet1!$E$1:$S$1</c:f>
              <c:numCache>
                <c:formatCode>General</c:formatCode>
                <c:ptCount val="15"/>
                <c:pt idx="0">
                  <c:v>2004</c:v>
                </c:pt>
                <c:pt idx="1">
                  <c:v>2005</c:v>
                </c:pt>
                <c:pt idx="2">
                  <c:v>2006</c:v>
                </c:pt>
                <c:pt idx="3">
                  <c:v>2007</c:v>
                </c:pt>
                <c:pt idx="4">
                  <c:v>2008</c:v>
                </c:pt>
                <c:pt idx="5">
                  <c:v>2009</c:v>
                </c:pt>
                <c:pt idx="6">
                  <c:v>2010</c:v>
                </c:pt>
                <c:pt idx="7">
                  <c:v>2011</c:v>
                </c:pt>
                <c:pt idx="8">
                  <c:v>2012</c:v>
                </c:pt>
                <c:pt idx="9">
                  <c:v>2013</c:v>
                </c:pt>
                <c:pt idx="10">
                  <c:v>2014</c:v>
                </c:pt>
                <c:pt idx="11">
                  <c:v>2015</c:v>
                </c:pt>
                <c:pt idx="12">
                  <c:v>2016</c:v>
                </c:pt>
                <c:pt idx="13">
                  <c:v>2017</c:v>
                </c:pt>
                <c:pt idx="14">
                  <c:v>2018</c:v>
                </c:pt>
              </c:numCache>
            </c:numRef>
          </c:cat>
          <c:val>
            <c:numRef>
              <c:f>Sheet1!$E$6:$S$6</c:f>
              <c:numCache>
                <c:formatCode>General</c:formatCode>
                <c:ptCount val="15"/>
                <c:pt idx="0">
                  <c:v>10.7</c:v>
                </c:pt>
                <c:pt idx="1">
                  <c:v>15.3</c:v>
                </c:pt>
                <c:pt idx="2">
                  <c:v>21.5</c:v>
                </c:pt>
                <c:pt idx="3">
                  <c:v>37.5</c:v>
                </c:pt>
                <c:pt idx="4">
                  <c:v>60.3</c:v>
                </c:pt>
                <c:pt idx="5">
                  <c:v>63.4</c:v>
                </c:pt>
                <c:pt idx="6">
                  <c:v>101.7</c:v>
                </c:pt>
                <c:pt idx="7">
                  <c:v>158.80000000000001</c:v>
                </c:pt>
                <c:pt idx="8">
                  <c:v>142.9</c:v>
                </c:pt>
                <c:pt idx="9">
                  <c:v>121.4</c:v>
                </c:pt>
                <c:pt idx="10">
                  <c:v>148</c:v>
                </c:pt>
                <c:pt idx="11">
                  <c:v>176.2</c:v>
                </c:pt>
                <c:pt idx="12">
                  <c:v>146.30000000000001</c:v>
                </c:pt>
                <c:pt idx="13">
                  <c:v>180</c:v>
                </c:pt>
                <c:pt idx="14">
                  <c:v>141.1</c:v>
                </c:pt>
              </c:numCache>
            </c:numRef>
          </c:val>
          <c:extLst>
            <c:ext xmlns:c16="http://schemas.microsoft.com/office/drawing/2014/chart" uri="{C3380CC4-5D6E-409C-BE32-E72D297353CC}">
              <c16:uniqueId val="{00000004-6475-48D6-A590-FBE75AA49313}"/>
            </c:ext>
          </c:extLst>
        </c:ser>
        <c:ser>
          <c:idx val="5"/>
          <c:order val="5"/>
          <c:tx>
            <c:strRef>
              <c:f>Sheet1!$D$7</c:f>
              <c:strCache>
                <c:ptCount val="1"/>
                <c:pt idx="0">
                  <c:v>Tide, Wave and Ocean Energy</c:v>
                </c:pt>
              </c:strCache>
            </c:strRef>
          </c:tx>
          <c:spPr>
            <a:solidFill>
              <a:srgbClr val="00B0F0"/>
            </a:solidFill>
            <a:ln>
              <a:noFill/>
            </a:ln>
            <a:effectLst/>
          </c:spPr>
          <c:invertIfNegative val="0"/>
          <c:cat>
            <c:numRef>
              <c:f>Sheet1!$E$1:$S$1</c:f>
              <c:numCache>
                <c:formatCode>General</c:formatCode>
                <c:ptCount val="15"/>
                <c:pt idx="0">
                  <c:v>2004</c:v>
                </c:pt>
                <c:pt idx="1">
                  <c:v>2005</c:v>
                </c:pt>
                <c:pt idx="2">
                  <c:v>2006</c:v>
                </c:pt>
                <c:pt idx="3">
                  <c:v>2007</c:v>
                </c:pt>
                <c:pt idx="4">
                  <c:v>2008</c:v>
                </c:pt>
                <c:pt idx="5">
                  <c:v>2009</c:v>
                </c:pt>
                <c:pt idx="6">
                  <c:v>2010</c:v>
                </c:pt>
                <c:pt idx="7">
                  <c:v>2011</c:v>
                </c:pt>
                <c:pt idx="8">
                  <c:v>2012</c:v>
                </c:pt>
                <c:pt idx="9">
                  <c:v>2013</c:v>
                </c:pt>
                <c:pt idx="10">
                  <c:v>2014</c:v>
                </c:pt>
                <c:pt idx="11">
                  <c:v>2015</c:v>
                </c:pt>
                <c:pt idx="12">
                  <c:v>2016</c:v>
                </c:pt>
                <c:pt idx="13">
                  <c:v>2017</c:v>
                </c:pt>
                <c:pt idx="14">
                  <c:v>2018</c:v>
                </c:pt>
              </c:numCache>
            </c:numRef>
          </c:cat>
          <c:val>
            <c:numRef>
              <c:f>Sheet1!$E$7:$S$7</c:f>
              <c:numCache>
                <c:formatCode>General</c:formatCode>
                <c:ptCount val="15"/>
                <c:pt idx="0">
                  <c:v>0</c:v>
                </c:pt>
                <c:pt idx="1">
                  <c:v>0.1</c:v>
                </c:pt>
                <c:pt idx="2">
                  <c:v>0.1</c:v>
                </c:pt>
                <c:pt idx="3">
                  <c:v>0.7</c:v>
                </c:pt>
                <c:pt idx="4">
                  <c:v>0.2</c:v>
                </c:pt>
                <c:pt idx="5">
                  <c:v>0.3</c:v>
                </c:pt>
                <c:pt idx="6">
                  <c:v>0.3</c:v>
                </c:pt>
                <c:pt idx="7">
                  <c:v>0.3</c:v>
                </c:pt>
                <c:pt idx="8">
                  <c:v>0.3</c:v>
                </c:pt>
                <c:pt idx="9">
                  <c:v>0.2</c:v>
                </c:pt>
                <c:pt idx="10">
                  <c:v>0.4</c:v>
                </c:pt>
                <c:pt idx="11">
                  <c:v>0.2</c:v>
                </c:pt>
                <c:pt idx="12">
                  <c:v>0.2</c:v>
                </c:pt>
                <c:pt idx="13">
                  <c:v>0.2</c:v>
                </c:pt>
                <c:pt idx="14">
                  <c:v>0.2</c:v>
                </c:pt>
              </c:numCache>
            </c:numRef>
          </c:val>
          <c:extLst>
            <c:ext xmlns:c16="http://schemas.microsoft.com/office/drawing/2014/chart" uri="{C3380CC4-5D6E-409C-BE32-E72D297353CC}">
              <c16:uniqueId val="{00000005-6475-48D6-A590-FBE75AA49313}"/>
            </c:ext>
          </c:extLst>
        </c:ser>
        <c:ser>
          <c:idx val="6"/>
          <c:order val="6"/>
          <c:tx>
            <c:strRef>
              <c:f>Sheet1!$D$8</c:f>
              <c:strCache>
                <c:ptCount val="1"/>
                <c:pt idx="0">
                  <c:v>Wind Energy</c:v>
                </c:pt>
              </c:strCache>
            </c:strRef>
          </c:tx>
          <c:spPr>
            <a:solidFill>
              <a:srgbClr val="00B050"/>
            </a:solidFill>
            <a:ln>
              <a:noFill/>
            </a:ln>
            <a:effectLst/>
          </c:spPr>
          <c:invertIfNegative val="0"/>
          <c:cat>
            <c:numRef>
              <c:f>Sheet1!$E$1:$S$1</c:f>
              <c:numCache>
                <c:formatCode>General</c:formatCode>
                <c:ptCount val="15"/>
                <c:pt idx="0">
                  <c:v>2004</c:v>
                </c:pt>
                <c:pt idx="1">
                  <c:v>2005</c:v>
                </c:pt>
                <c:pt idx="2">
                  <c:v>2006</c:v>
                </c:pt>
                <c:pt idx="3">
                  <c:v>2007</c:v>
                </c:pt>
                <c:pt idx="4">
                  <c:v>2008</c:v>
                </c:pt>
                <c:pt idx="5">
                  <c:v>2009</c:v>
                </c:pt>
                <c:pt idx="6">
                  <c:v>2010</c:v>
                </c:pt>
                <c:pt idx="7">
                  <c:v>2011</c:v>
                </c:pt>
                <c:pt idx="8">
                  <c:v>2012</c:v>
                </c:pt>
                <c:pt idx="9">
                  <c:v>2013</c:v>
                </c:pt>
                <c:pt idx="10">
                  <c:v>2014</c:v>
                </c:pt>
                <c:pt idx="11">
                  <c:v>2015</c:v>
                </c:pt>
                <c:pt idx="12">
                  <c:v>2016</c:v>
                </c:pt>
                <c:pt idx="13">
                  <c:v>2017</c:v>
                </c:pt>
                <c:pt idx="14">
                  <c:v>2018</c:v>
                </c:pt>
              </c:numCache>
            </c:numRef>
          </c:cat>
          <c:val>
            <c:numRef>
              <c:f>Sheet1!$E$8:$S$8</c:f>
              <c:numCache>
                <c:formatCode>General</c:formatCode>
                <c:ptCount val="15"/>
                <c:pt idx="0">
                  <c:v>18.899999999999999</c:v>
                </c:pt>
                <c:pt idx="1">
                  <c:v>27.3</c:v>
                </c:pt>
                <c:pt idx="2">
                  <c:v>36.299999999999997</c:v>
                </c:pt>
                <c:pt idx="3">
                  <c:v>59.1</c:v>
                </c:pt>
                <c:pt idx="4">
                  <c:v>73.900000000000006</c:v>
                </c:pt>
                <c:pt idx="5">
                  <c:v>73.3</c:v>
                </c:pt>
                <c:pt idx="6">
                  <c:v>98.3</c:v>
                </c:pt>
                <c:pt idx="7">
                  <c:v>84.7</c:v>
                </c:pt>
                <c:pt idx="8">
                  <c:v>77.900000000000006</c:v>
                </c:pt>
                <c:pt idx="9">
                  <c:v>83.2</c:v>
                </c:pt>
                <c:pt idx="10">
                  <c:v>110.7</c:v>
                </c:pt>
                <c:pt idx="11">
                  <c:v>121.5</c:v>
                </c:pt>
                <c:pt idx="12">
                  <c:v>124.9</c:v>
                </c:pt>
                <c:pt idx="13">
                  <c:v>129.69999999999999</c:v>
                </c:pt>
                <c:pt idx="14">
                  <c:v>131.5</c:v>
                </c:pt>
              </c:numCache>
            </c:numRef>
          </c:val>
          <c:extLst>
            <c:ext xmlns:c16="http://schemas.microsoft.com/office/drawing/2014/chart" uri="{C3380CC4-5D6E-409C-BE32-E72D297353CC}">
              <c16:uniqueId val="{00000006-6475-48D6-A590-FBE75AA49313}"/>
            </c:ext>
          </c:extLst>
        </c:ser>
        <c:dLbls>
          <c:showLegendKey val="0"/>
          <c:showVal val="0"/>
          <c:showCatName val="0"/>
          <c:showSerName val="0"/>
          <c:showPercent val="0"/>
          <c:showBubbleSize val="0"/>
        </c:dLbls>
        <c:gapWidth val="150"/>
        <c:overlap val="100"/>
        <c:axId val="-1751054720"/>
        <c:axId val="-1751043296"/>
      </c:barChart>
      <c:catAx>
        <c:axId val="-175105472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1751043296"/>
        <c:crosses val="autoZero"/>
        <c:auto val="1"/>
        <c:lblAlgn val="ctr"/>
        <c:lblOffset val="100"/>
        <c:noMultiLvlLbl val="0"/>
      </c:catAx>
      <c:valAx>
        <c:axId val="-175104329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1751054720"/>
        <c:crosses val="autoZero"/>
        <c:crossBetween val="between"/>
      </c:valAx>
      <c:spPr>
        <a:noFill/>
        <a:ln w="0">
          <a:solidFill>
            <a:schemeClr val="accent1"/>
          </a:solid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legend>
    <c:plotVisOnly val="1"/>
    <c:dispBlanksAs val="gap"/>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pl-PL" b="1"/>
              <a:t>Produkcja biopaliwa,</a:t>
            </a:r>
            <a:r>
              <a:rPr lang="pl-PL" b="1" baseline="0"/>
              <a:t> w podziale na regiony</a:t>
            </a:r>
            <a:endParaRPr lang="en-GB" b="1"/>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pl-PL"/>
        </a:p>
      </c:txPr>
    </c:title>
    <c:autoTitleDeleted val="0"/>
    <c:plotArea>
      <c:layout/>
      <c:areaChart>
        <c:grouping val="stacked"/>
        <c:varyColors val="0"/>
        <c:ser>
          <c:idx val="0"/>
          <c:order val="0"/>
          <c:tx>
            <c:strRef>
              <c:f>'biofuel-production'!$G$2</c:f>
              <c:strCache>
                <c:ptCount val="1"/>
                <c:pt idx="0">
                  <c:v>Africa</c:v>
                </c:pt>
              </c:strCache>
            </c:strRef>
          </c:tx>
          <c:spPr>
            <a:solidFill>
              <a:schemeClr val="accent1"/>
            </a:solidFill>
            <a:ln>
              <a:noFill/>
            </a:ln>
            <a:effectLst/>
          </c:spPr>
          <c:cat>
            <c:numRef>
              <c:f>'biofuel-production'!$H$1:$AJ$1</c:f>
              <c:numCache>
                <c:formatCode>General</c:formatCode>
                <c:ptCount val="29"/>
                <c:pt idx="0">
                  <c:v>1990</c:v>
                </c:pt>
                <c:pt idx="1">
                  <c:v>1991</c:v>
                </c:pt>
                <c:pt idx="2">
                  <c:v>1992</c:v>
                </c:pt>
                <c:pt idx="3">
                  <c:v>1993</c:v>
                </c:pt>
                <c:pt idx="4">
                  <c:v>1994</c:v>
                </c:pt>
                <c:pt idx="5">
                  <c:v>1995</c:v>
                </c:pt>
                <c:pt idx="6">
                  <c:v>1996</c:v>
                </c:pt>
                <c:pt idx="7">
                  <c:v>1997</c:v>
                </c:pt>
                <c:pt idx="8">
                  <c:v>1998</c:v>
                </c:pt>
                <c:pt idx="9">
                  <c:v>1999</c:v>
                </c:pt>
                <c:pt idx="10">
                  <c:v>2000</c:v>
                </c:pt>
                <c:pt idx="11">
                  <c:v>2001</c:v>
                </c:pt>
                <c:pt idx="12">
                  <c:v>2002</c:v>
                </c:pt>
                <c:pt idx="13">
                  <c:v>2003</c:v>
                </c:pt>
                <c:pt idx="14">
                  <c:v>2004</c:v>
                </c:pt>
                <c:pt idx="15">
                  <c:v>2005</c:v>
                </c:pt>
                <c:pt idx="16">
                  <c:v>2006</c:v>
                </c:pt>
                <c:pt idx="17">
                  <c:v>2007</c:v>
                </c:pt>
                <c:pt idx="18">
                  <c:v>2008</c:v>
                </c:pt>
                <c:pt idx="19">
                  <c:v>2009</c:v>
                </c:pt>
                <c:pt idx="20">
                  <c:v>2010</c:v>
                </c:pt>
                <c:pt idx="21">
                  <c:v>2011</c:v>
                </c:pt>
                <c:pt idx="22">
                  <c:v>2012</c:v>
                </c:pt>
                <c:pt idx="23">
                  <c:v>2013</c:v>
                </c:pt>
                <c:pt idx="24">
                  <c:v>2014</c:v>
                </c:pt>
                <c:pt idx="25">
                  <c:v>2015</c:v>
                </c:pt>
                <c:pt idx="26">
                  <c:v>2016</c:v>
                </c:pt>
                <c:pt idx="27">
                  <c:v>2017</c:v>
                </c:pt>
                <c:pt idx="28">
                  <c:v>2018</c:v>
                </c:pt>
              </c:numCache>
            </c:numRef>
          </c:cat>
          <c:val>
            <c:numRef>
              <c:f>'biofuel-production'!$H$2:$AJ$2</c:f>
              <c:numCache>
                <c:formatCode>General</c:formatCode>
                <c:ptCount val="29"/>
                <c:pt idx="0">
                  <c:v>0.72457210998877697</c:v>
                </c:pt>
                <c:pt idx="1">
                  <c:v>0.72457210998877697</c:v>
                </c:pt>
                <c:pt idx="2">
                  <c:v>0.72655723905723901</c:v>
                </c:pt>
                <c:pt idx="3">
                  <c:v>0.72457210998877697</c:v>
                </c:pt>
                <c:pt idx="4">
                  <c:v>0.72457210998877697</c:v>
                </c:pt>
                <c:pt idx="5">
                  <c:v>0.72457210998877697</c:v>
                </c:pt>
                <c:pt idx="6">
                  <c:v>0.72655723905723901</c:v>
                </c:pt>
                <c:pt idx="7">
                  <c:v>1.0868581649831599</c:v>
                </c:pt>
                <c:pt idx="8">
                  <c:v>1.0868581649831599</c:v>
                </c:pt>
                <c:pt idx="9">
                  <c:v>0.72457210998877697</c:v>
                </c:pt>
                <c:pt idx="10">
                  <c:v>0.72655723905723901</c:v>
                </c:pt>
                <c:pt idx="11">
                  <c:v>0.72457210998877697</c:v>
                </c:pt>
                <c:pt idx="12">
                  <c:v>3.5655875568463999</c:v>
                </c:pt>
                <c:pt idx="13">
                  <c:v>5.0133322676413696</c:v>
                </c:pt>
                <c:pt idx="14">
                  <c:v>5.7683625147817104</c:v>
                </c:pt>
                <c:pt idx="15">
                  <c:v>6.2970254417225897</c:v>
                </c:pt>
                <c:pt idx="16">
                  <c:v>6.6856784041557704</c:v>
                </c:pt>
                <c:pt idx="17">
                  <c:v>7.0291177229416597</c:v>
                </c:pt>
                <c:pt idx="18">
                  <c:v>5.5516911489361798</c:v>
                </c:pt>
                <c:pt idx="19">
                  <c:v>33.193876195361597</c:v>
                </c:pt>
                <c:pt idx="20">
                  <c:v>34.754609832708297</c:v>
                </c:pt>
                <c:pt idx="21">
                  <c:v>37.771459911292403</c:v>
                </c:pt>
                <c:pt idx="22">
                  <c:v>26.9802652822613</c:v>
                </c:pt>
                <c:pt idx="23">
                  <c:v>27.529834623456299</c:v>
                </c:pt>
                <c:pt idx="24">
                  <c:v>31.713747858293701</c:v>
                </c:pt>
                <c:pt idx="25">
                  <c:v>41.091114857912103</c:v>
                </c:pt>
                <c:pt idx="26">
                  <c:v>50.010953387121198</c:v>
                </c:pt>
                <c:pt idx="27">
                  <c:v>50.481778791790198</c:v>
                </c:pt>
                <c:pt idx="28">
                  <c:v>50.769632708029697</c:v>
                </c:pt>
              </c:numCache>
            </c:numRef>
          </c:val>
          <c:extLst>
            <c:ext xmlns:c16="http://schemas.microsoft.com/office/drawing/2014/chart" uri="{C3380CC4-5D6E-409C-BE32-E72D297353CC}">
              <c16:uniqueId val="{00000000-9B3D-48C2-BDAA-A854792CCA33}"/>
            </c:ext>
          </c:extLst>
        </c:ser>
        <c:ser>
          <c:idx val="1"/>
          <c:order val="1"/>
          <c:tx>
            <c:strRef>
              <c:f>'biofuel-production'!$G$3</c:f>
              <c:strCache>
                <c:ptCount val="1"/>
                <c:pt idx="0">
                  <c:v>Middle East</c:v>
                </c:pt>
              </c:strCache>
            </c:strRef>
          </c:tx>
          <c:spPr>
            <a:solidFill>
              <a:schemeClr val="accent2"/>
            </a:solidFill>
            <a:ln>
              <a:noFill/>
            </a:ln>
            <a:effectLst/>
          </c:spPr>
          <c:cat>
            <c:numRef>
              <c:f>'biofuel-production'!$H$1:$AJ$1</c:f>
              <c:numCache>
                <c:formatCode>General</c:formatCode>
                <c:ptCount val="29"/>
                <c:pt idx="0">
                  <c:v>1990</c:v>
                </c:pt>
                <c:pt idx="1">
                  <c:v>1991</c:v>
                </c:pt>
                <c:pt idx="2">
                  <c:v>1992</c:v>
                </c:pt>
                <c:pt idx="3">
                  <c:v>1993</c:v>
                </c:pt>
                <c:pt idx="4">
                  <c:v>1994</c:v>
                </c:pt>
                <c:pt idx="5">
                  <c:v>1995</c:v>
                </c:pt>
                <c:pt idx="6">
                  <c:v>1996</c:v>
                </c:pt>
                <c:pt idx="7">
                  <c:v>1997</c:v>
                </c:pt>
                <c:pt idx="8">
                  <c:v>1998</c:v>
                </c:pt>
                <c:pt idx="9">
                  <c:v>1999</c:v>
                </c:pt>
                <c:pt idx="10">
                  <c:v>2000</c:v>
                </c:pt>
                <c:pt idx="11">
                  <c:v>2001</c:v>
                </c:pt>
                <c:pt idx="12">
                  <c:v>2002</c:v>
                </c:pt>
                <c:pt idx="13">
                  <c:v>2003</c:v>
                </c:pt>
                <c:pt idx="14">
                  <c:v>2004</c:v>
                </c:pt>
                <c:pt idx="15">
                  <c:v>2005</c:v>
                </c:pt>
                <c:pt idx="16">
                  <c:v>2006</c:v>
                </c:pt>
                <c:pt idx="17">
                  <c:v>2007</c:v>
                </c:pt>
                <c:pt idx="18">
                  <c:v>2008</c:v>
                </c:pt>
                <c:pt idx="19">
                  <c:v>2009</c:v>
                </c:pt>
                <c:pt idx="20">
                  <c:v>2010</c:v>
                </c:pt>
                <c:pt idx="21">
                  <c:v>2011</c:v>
                </c:pt>
                <c:pt idx="22">
                  <c:v>2012</c:v>
                </c:pt>
                <c:pt idx="23">
                  <c:v>2013</c:v>
                </c:pt>
                <c:pt idx="24">
                  <c:v>2014</c:v>
                </c:pt>
                <c:pt idx="25">
                  <c:v>2015</c:v>
                </c:pt>
                <c:pt idx="26">
                  <c:v>2016</c:v>
                </c:pt>
                <c:pt idx="27">
                  <c:v>2017</c:v>
                </c:pt>
                <c:pt idx="28">
                  <c:v>2018</c:v>
                </c:pt>
              </c:numCache>
            </c:numRef>
          </c:cat>
          <c:val>
            <c:numRef>
              <c:f>'biofuel-production'!$H$3:$AJ$3</c:f>
              <c:numCache>
                <c:formatCode>General</c:formatCode>
                <c:ptCount val="29"/>
                <c:pt idx="0">
                  <c:v>0</c:v>
                </c:pt>
                <c:pt idx="1">
                  <c:v>0</c:v>
                </c:pt>
                <c:pt idx="2">
                  <c:v>0</c:v>
                </c:pt>
                <c:pt idx="3">
                  <c:v>0</c:v>
                </c:pt>
                <c:pt idx="4">
                  <c:v>0</c:v>
                </c:pt>
                <c:pt idx="5">
                  <c:v>0</c:v>
                </c:pt>
                <c:pt idx="6">
                  <c:v>0</c:v>
                </c:pt>
                <c:pt idx="7">
                  <c:v>0</c:v>
                </c:pt>
                <c:pt idx="8">
                  <c:v>0</c:v>
                </c:pt>
                <c:pt idx="9">
                  <c:v>0</c:v>
                </c:pt>
                <c:pt idx="10">
                  <c:v>0</c:v>
                </c:pt>
                <c:pt idx="11">
                  <c:v>0</c:v>
                </c:pt>
                <c:pt idx="12">
                  <c:v>0.94000627372529399</c:v>
                </c:pt>
                <c:pt idx="13">
                  <c:v>1.0461457828973699</c:v>
                </c:pt>
                <c:pt idx="14">
                  <c:v>0.85998334219677197</c:v>
                </c:pt>
                <c:pt idx="15">
                  <c:v>0</c:v>
                </c:pt>
                <c:pt idx="16">
                  <c:v>0</c:v>
                </c:pt>
                <c:pt idx="17">
                  <c:v>0</c:v>
                </c:pt>
                <c:pt idx="18">
                  <c:v>0</c:v>
                </c:pt>
                <c:pt idx="19">
                  <c:v>1.4357794874088099</c:v>
                </c:pt>
                <c:pt idx="20">
                  <c:v>1.3733539772727199</c:v>
                </c:pt>
                <c:pt idx="21">
                  <c:v>1.4982049975448899</c:v>
                </c:pt>
                <c:pt idx="22">
                  <c:v>1.6275027466330001</c:v>
                </c:pt>
                <c:pt idx="23">
                  <c:v>1.7479070380892201</c:v>
                </c:pt>
                <c:pt idx="24">
                  <c:v>1.8727580583613801</c:v>
                </c:pt>
                <c:pt idx="25">
                  <c:v>1.9976054557730101</c:v>
                </c:pt>
                <c:pt idx="26">
                  <c:v>1.8778889023569001</c:v>
                </c:pt>
                <c:pt idx="27">
                  <c:v>1.8727580583613801</c:v>
                </c:pt>
                <c:pt idx="28">
                  <c:v>1.8727580583613801</c:v>
                </c:pt>
              </c:numCache>
            </c:numRef>
          </c:val>
          <c:extLst>
            <c:ext xmlns:c16="http://schemas.microsoft.com/office/drawing/2014/chart" uri="{C3380CC4-5D6E-409C-BE32-E72D297353CC}">
              <c16:uniqueId val="{00000001-9B3D-48C2-BDAA-A854792CCA33}"/>
            </c:ext>
          </c:extLst>
        </c:ser>
        <c:ser>
          <c:idx val="2"/>
          <c:order val="2"/>
          <c:tx>
            <c:strRef>
              <c:f>'biofuel-production'!$G$4</c:f>
              <c:strCache>
                <c:ptCount val="1"/>
                <c:pt idx="0">
                  <c:v>Asia Pacific</c:v>
                </c:pt>
              </c:strCache>
            </c:strRef>
          </c:tx>
          <c:spPr>
            <a:solidFill>
              <a:schemeClr val="accent3"/>
            </a:solidFill>
            <a:ln>
              <a:noFill/>
            </a:ln>
            <a:effectLst/>
          </c:spPr>
          <c:cat>
            <c:numRef>
              <c:f>'biofuel-production'!$H$1:$AJ$1</c:f>
              <c:numCache>
                <c:formatCode>General</c:formatCode>
                <c:ptCount val="29"/>
                <c:pt idx="0">
                  <c:v>1990</c:v>
                </c:pt>
                <c:pt idx="1">
                  <c:v>1991</c:v>
                </c:pt>
                <c:pt idx="2">
                  <c:v>1992</c:v>
                </c:pt>
                <c:pt idx="3">
                  <c:v>1993</c:v>
                </c:pt>
                <c:pt idx="4">
                  <c:v>1994</c:v>
                </c:pt>
                <c:pt idx="5">
                  <c:v>1995</c:v>
                </c:pt>
                <c:pt idx="6">
                  <c:v>1996</c:v>
                </c:pt>
                <c:pt idx="7">
                  <c:v>1997</c:v>
                </c:pt>
                <c:pt idx="8">
                  <c:v>1998</c:v>
                </c:pt>
                <c:pt idx="9">
                  <c:v>1999</c:v>
                </c:pt>
                <c:pt idx="10">
                  <c:v>2000</c:v>
                </c:pt>
                <c:pt idx="11">
                  <c:v>2001</c:v>
                </c:pt>
                <c:pt idx="12">
                  <c:v>2002</c:v>
                </c:pt>
                <c:pt idx="13">
                  <c:v>2003</c:v>
                </c:pt>
                <c:pt idx="14">
                  <c:v>2004</c:v>
                </c:pt>
                <c:pt idx="15">
                  <c:v>2005</c:v>
                </c:pt>
                <c:pt idx="16">
                  <c:v>2006</c:v>
                </c:pt>
                <c:pt idx="17">
                  <c:v>2007</c:v>
                </c:pt>
                <c:pt idx="18">
                  <c:v>2008</c:v>
                </c:pt>
                <c:pt idx="19">
                  <c:v>2009</c:v>
                </c:pt>
                <c:pt idx="20">
                  <c:v>2010</c:v>
                </c:pt>
                <c:pt idx="21">
                  <c:v>2011</c:v>
                </c:pt>
                <c:pt idx="22">
                  <c:v>2012</c:v>
                </c:pt>
                <c:pt idx="23">
                  <c:v>2013</c:v>
                </c:pt>
                <c:pt idx="24">
                  <c:v>2014</c:v>
                </c:pt>
                <c:pt idx="25">
                  <c:v>2015</c:v>
                </c:pt>
                <c:pt idx="26">
                  <c:v>2016</c:v>
                </c:pt>
                <c:pt idx="27">
                  <c:v>2017</c:v>
                </c:pt>
                <c:pt idx="28">
                  <c:v>2018</c:v>
                </c:pt>
              </c:numCache>
            </c:numRef>
          </c:cat>
          <c:val>
            <c:numRef>
              <c:f>'biofuel-production'!$H$4:$AJ$4</c:f>
              <c:numCache>
                <c:formatCode>General</c:formatCode>
                <c:ptCount val="29"/>
                <c:pt idx="0">
                  <c:v>0</c:v>
                </c:pt>
                <c:pt idx="1">
                  <c:v>0</c:v>
                </c:pt>
                <c:pt idx="2">
                  <c:v>0</c:v>
                </c:pt>
                <c:pt idx="3">
                  <c:v>0</c:v>
                </c:pt>
                <c:pt idx="4">
                  <c:v>0</c:v>
                </c:pt>
                <c:pt idx="5">
                  <c:v>0</c:v>
                </c:pt>
                <c:pt idx="6">
                  <c:v>0</c:v>
                </c:pt>
                <c:pt idx="7">
                  <c:v>0</c:v>
                </c:pt>
                <c:pt idx="8">
                  <c:v>0</c:v>
                </c:pt>
                <c:pt idx="9">
                  <c:v>0</c:v>
                </c:pt>
                <c:pt idx="10">
                  <c:v>10.535079966330001</c:v>
                </c:pt>
                <c:pt idx="11">
                  <c:v>11.399188281923401</c:v>
                </c:pt>
                <c:pt idx="12">
                  <c:v>30.3441844680499</c:v>
                </c:pt>
                <c:pt idx="13">
                  <c:v>66.559908597994806</c:v>
                </c:pt>
                <c:pt idx="14">
                  <c:v>68.248404129300695</c:v>
                </c:pt>
                <c:pt idx="15">
                  <c:v>108.95377495779699</c:v>
                </c:pt>
                <c:pt idx="16">
                  <c:v>177.64154797156101</c:v>
                </c:pt>
                <c:pt idx="17">
                  <c:v>239.71145845700701</c:v>
                </c:pt>
                <c:pt idx="18">
                  <c:v>381.57422118847001</c:v>
                </c:pt>
                <c:pt idx="19">
                  <c:v>395.51257486792002</c:v>
                </c:pt>
                <c:pt idx="20">
                  <c:v>436.62018986283903</c:v>
                </c:pt>
                <c:pt idx="21">
                  <c:v>676.61217773991496</c:v>
                </c:pt>
                <c:pt idx="22">
                  <c:v>829.49800020839996</c:v>
                </c:pt>
                <c:pt idx="23">
                  <c:v>982.42154968686395</c:v>
                </c:pt>
                <c:pt idx="24">
                  <c:v>1180.0291686359001</c:v>
                </c:pt>
                <c:pt idx="25">
                  <c:v>987.27096948280598</c:v>
                </c:pt>
                <c:pt idx="26">
                  <c:v>1122.7419829288799</c:v>
                </c:pt>
                <c:pt idx="27">
                  <c:v>1170.9908056511799</c:v>
                </c:pt>
                <c:pt idx="28">
                  <c:v>1620.9627875117501</c:v>
                </c:pt>
              </c:numCache>
            </c:numRef>
          </c:val>
          <c:extLst>
            <c:ext xmlns:c16="http://schemas.microsoft.com/office/drawing/2014/chart" uri="{C3380CC4-5D6E-409C-BE32-E72D297353CC}">
              <c16:uniqueId val="{00000002-9B3D-48C2-BDAA-A854792CCA33}"/>
            </c:ext>
          </c:extLst>
        </c:ser>
        <c:ser>
          <c:idx val="3"/>
          <c:order val="3"/>
          <c:tx>
            <c:strRef>
              <c:f>'biofuel-production'!$G$5</c:f>
              <c:strCache>
                <c:ptCount val="1"/>
                <c:pt idx="0">
                  <c:v>Europe</c:v>
                </c:pt>
              </c:strCache>
            </c:strRef>
          </c:tx>
          <c:spPr>
            <a:solidFill>
              <a:schemeClr val="accent4"/>
            </a:solidFill>
            <a:ln>
              <a:noFill/>
            </a:ln>
            <a:effectLst/>
          </c:spPr>
          <c:cat>
            <c:numRef>
              <c:f>'biofuel-production'!$H$1:$AJ$1</c:f>
              <c:numCache>
                <c:formatCode>General</c:formatCode>
                <c:ptCount val="29"/>
                <c:pt idx="0">
                  <c:v>1990</c:v>
                </c:pt>
                <c:pt idx="1">
                  <c:v>1991</c:v>
                </c:pt>
                <c:pt idx="2">
                  <c:v>1992</c:v>
                </c:pt>
                <c:pt idx="3">
                  <c:v>1993</c:v>
                </c:pt>
                <c:pt idx="4">
                  <c:v>1994</c:v>
                </c:pt>
                <c:pt idx="5">
                  <c:v>1995</c:v>
                </c:pt>
                <c:pt idx="6">
                  <c:v>1996</c:v>
                </c:pt>
                <c:pt idx="7">
                  <c:v>1997</c:v>
                </c:pt>
                <c:pt idx="8">
                  <c:v>1998</c:v>
                </c:pt>
                <c:pt idx="9">
                  <c:v>1999</c:v>
                </c:pt>
                <c:pt idx="10">
                  <c:v>2000</c:v>
                </c:pt>
                <c:pt idx="11">
                  <c:v>2001</c:v>
                </c:pt>
                <c:pt idx="12">
                  <c:v>2002</c:v>
                </c:pt>
                <c:pt idx="13">
                  <c:v>2003</c:v>
                </c:pt>
                <c:pt idx="14">
                  <c:v>2004</c:v>
                </c:pt>
                <c:pt idx="15">
                  <c:v>2005</c:v>
                </c:pt>
                <c:pt idx="16">
                  <c:v>2006</c:v>
                </c:pt>
                <c:pt idx="17">
                  <c:v>2007</c:v>
                </c:pt>
                <c:pt idx="18">
                  <c:v>2008</c:v>
                </c:pt>
                <c:pt idx="19">
                  <c:v>2009</c:v>
                </c:pt>
                <c:pt idx="20">
                  <c:v>2010</c:v>
                </c:pt>
                <c:pt idx="21">
                  <c:v>2011</c:v>
                </c:pt>
                <c:pt idx="22">
                  <c:v>2012</c:v>
                </c:pt>
                <c:pt idx="23">
                  <c:v>2013</c:v>
                </c:pt>
                <c:pt idx="24">
                  <c:v>2014</c:v>
                </c:pt>
                <c:pt idx="25">
                  <c:v>2015</c:v>
                </c:pt>
                <c:pt idx="26">
                  <c:v>2016</c:v>
                </c:pt>
                <c:pt idx="27">
                  <c:v>2017</c:v>
                </c:pt>
                <c:pt idx="28">
                  <c:v>2018</c:v>
                </c:pt>
              </c:numCache>
            </c:numRef>
          </c:cat>
          <c:val>
            <c:numRef>
              <c:f>'biofuel-production'!$H$5:$AJ$5</c:f>
              <c:numCache>
                <c:formatCode>General</c:formatCode>
                <c:ptCount val="29"/>
                <c:pt idx="0">
                  <c:v>0.73268999999999995</c:v>
                </c:pt>
                <c:pt idx="1">
                  <c:v>0.80247000000000002</c:v>
                </c:pt>
                <c:pt idx="2">
                  <c:v>2.0241644444444402</c:v>
                </c:pt>
                <c:pt idx="3">
                  <c:v>5.0278684555555504</c:v>
                </c:pt>
                <c:pt idx="4">
                  <c:v>14.0076737555555</c:v>
                </c:pt>
                <c:pt idx="5">
                  <c:v>24.7458501777778</c:v>
                </c:pt>
                <c:pt idx="6">
                  <c:v>35.902171044444401</c:v>
                </c:pt>
                <c:pt idx="7">
                  <c:v>45.907123968353801</c:v>
                </c:pt>
                <c:pt idx="8">
                  <c:v>43.727265874162001</c:v>
                </c:pt>
                <c:pt idx="9">
                  <c:v>50.051157356799997</c:v>
                </c:pt>
                <c:pt idx="10">
                  <c:v>81.306770309271798</c:v>
                </c:pt>
                <c:pt idx="11">
                  <c:v>100.384430039824</c:v>
                </c:pt>
                <c:pt idx="12">
                  <c:v>134.51876187824899</c:v>
                </c:pt>
                <c:pt idx="13">
                  <c:v>170.067190585003</c:v>
                </c:pt>
                <c:pt idx="14">
                  <c:v>254.78605010915899</c:v>
                </c:pt>
                <c:pt idx="15">
                  <c:v>349.23272669179499</c:v>
                </c:pt>
                <c:pt idx="16">
                  <c:v>514.70326751433697</c:v>
                </c:pt>
                <c:pt idx="17">
                  <c:v>703.30512140846599</c:v>
                </c:pt>
                <c:pt idx="18">
                  <c:v>910.37470089935596</c:v>
                </c:pt>
                <c:pt idx="19">
                  <c:v>1114.61895583215</c:v>
                </c:pt>
                <c:pt idx="20">
                  <c:v>1270.6520666773399</c:v>
                </c:pt>
                <c:pt idx="21">
                  <c:v>1227.21195122723</c:v>
                </c:pt>
                <c:pt idx="22">
                  <c:v>1328.8801990622801</c:v>
                </c:pt>
                <c:pt idx="23">
                  <c:v>1457.67757650979</c:v>
                </c:pt>
                <c:pt idx="24">
                  <c:v>1606.2743499348401</c:v>
                </c:pt>
                <c:pt idx="25">
                  <c:v>1614.7570247503299</c:v>
                </c:pt>
                <c:pt idx="26">
                  <c:v>1574.8135554836699</c:v>
                </c:pt>
                <c:pt idx="27">
                  <c:v>1777.1025683190301</c:v>
                </c:pt>
                <c:pt idx="28">
                  <c:v>1854.87106577137</c:v>
                </c:pt>
              </c:numCache>
            </c:numRef>
          </c:val>
          <c:extLst>
            <c:ext xmlns:c16="http://schemas.microsoft.com/office/drawing/2014/chart" uri="{C3380CC4-5D6E-409C-BE32-E72D297353CC}">
              <c16:uniqueId val="{00000003-9B3D-48C2-BDAA-A854792CCA33}"/>
            </c:ext>
          </c:extLst>
        </c:ser>
        <c:ser>
          <c:idx val="4"/>
          <c:order val="4"/>
          <c:tx>
            <c:strRef>
              <c:f>'biofuel-production'!$G$6</c:f>
              <c:strCache>
                <c:ptCount val="1"/>
                <c:pt idx="0">
                  <c:v>South &amp;Central America</c:v>
                </c:pt>
              </c:strCache>
            </c:strRef>
          </c:tx>
          <c:spPr>
            <a:solidFill>
              <a:schemeClr val="accent5"/>
            </a:solidFill>
            <a:ln>
              <a:noFill/>
            </a:ln>
            <a:effectLst/>
          </c:spPr>
          <c:cat>
            <c:numRef>
              <c:f>'biofuel-production'!$H$1:$AJ$1</c:f>
              <c:numCache>
                <c:formatCode>General</c:formatCode>
                <c:ptCount val="29"/>
                <c:pt idx="0">
                  <c:v>1990</c:v>
                </c:pt>
                <c:pt idx="1">
                  <c:v>1991</c:v>
                </c:pt>
                <c:pt idx="2">
                  <c:v>1992</c:v>
                </c:pt>
                <c:pt idx="3">
                  <c:v>1993</c:v>
                </c:pt>
                <c:pt idx="4">
                  <c:v>1994</c:v>
                </c:pt>
                <c:pt idx="5">
                  <c:v>1995</c:v>
                </c:pt>
                <c:pt idx="6">
                  <c:v>1996</c:v>
                </c:pt>
                <c:pt idx="7">
                  <c:v>1997</c:v>
                </c:pt>
                <c:pt idx="8">
                  <c:v>1998</c:v>
                </c:pt>
                <c:pt idx="9">
                  <c:v>1999</c:v>
                </c:pt>
                <c:pt idx="10">
                  <c:v>2000</c:v>
                </c:pt>
                <c:pt idx="11">
                  <c:v>2001</c:v>
                </c:pt>
                <c:pt idx="12">
                  <c:v>2002</c:v>
                </c:pt>
                <c:pt idx="13">
                  <c:v>2003</c:v>
                </c:pt>
                <c:pt idx="14">
                  <c:v>2004</c:v>
                </c:pt>
                <c:pt idx="15">
                  <c:v>2005</c:v>
                </c:pt>
                <c:pt idx="16">
                  <c:v>2006</c:v>
                </c:pt>
                <c:pt idx="17">
                  <c:v>2007</c:v>
                </c:pt>
                <c:pt idx="18">
                  <c:v>2008</c:v>
                </c:pt>
                <c:pt idx="19">
                  <c:v>2009</c:v>
                </c:pt>
                <c:pt idx="20">
                  <c:v>2010</c:v>
                </c:pt>
                <c:pt idx="21">
                  <c:v>2011</c:v>
                </c:pt>
                <c:pt idx="22">
                  <c:v>2012</c:v>
                </c:pt>
                <c:pt idx="23">
                  <c:v>2013</c:v>
                </c:pt>
                <c:pt idx="24">
                  <c:v>2014</c:v>
                </c:pt>
                <c:pt idx="25">
                  <c:v>2015</c:v>
                </c:pt>
                <c:pt idx="26">
                  <c:v>2016</c:v>
                </c:pt>
                <c:pt idx="27">
                  <c:v>2017</c:v>
                </c:pt>
                <c:pt idx="28">
                  <c:v>2018</c:v>
                </c:pt>
              </c:numCache>
            </c:numRef>
          </c:cat>
          <c:val>
            <c:numRef>
              <c:f>'biofuel-production'!$H$6:$AJ$6</c:f>
              <c:numCache>
                <c:formatCode>General</c:formatCode>
                <c:ptCount val="29"/>
                <c:pt idx="0">
                  <c:v>727.49578487376004</c:v>
                </c:pt>
                <c:pt idx="1">
                  <c:v>811.23355216871096</c:v>
                </c:pt>
                <c:pt idx="2">
                  <c:v>742.34745971319899</c:v>
                </c:pt>
                <c:pt idx="3">
                  <c:v>717.57834936311497</c:v>
                </c:pt>
                <c:pt idx="4">
                  <c:v>786.915956414167</c:v>
                </c:pt>
                <c:pt idx="5">
                  <c:v>800.85150005416097</c:v>
                </c:pt>
                <c:pt idx="6">
                  <c:v>887.24857470971006</c:v>
                </c:pt>
                <c:pt idx="7">
                  <c:v>971.72582212550299</c:v>
                </c:pt>
                <c:pt idx="8">
                  <c:v>885.227389366029</c:v>
                </c:pt>
                <c:pt idx="9">
                  <c:v>814.53431748815001</c:v>
                </c:pt>
                <c:pt idx="10">
                  <c:v>672.54487977701206</c:v>
                </c:pt>
                <c:pt idx="11">
                  <c:v>720.72120062462704</c:v>
                </c:pt>
                <c:pt idx="12">
                  <c:v>801.47625594811598</c:v>
                </c:pt>
                <c:pt idx="13">
                  <c:v>923.09817704129398</c:v>
                </c:pt>
                <c:pt idx="14">
                  <c:v>933.87241775525899</c:v>
                </c:pt>
                <c:pt idx="15">
                  <c:v>1021.2552718857399</c:v>
                </c:pt>
                <c:pt idx="16">
                  <c:v>1172.2715488072299</c:v>
                </c:pt>
                <c:pt idx="17">
                  <c:v>1532.67408024319</c:v>
                </c:pt>
                <c:pt idx="18">
                  <c:v>1954.1909305310201</c:v>
                </c:pt>
                <c:pt idx="19">
                  <c:v>1951.3455905092201</c:v>
                </c:pt>
                <c:pt idx="20">
                  <c:v>2234.5376683541799</c:v>
                </c:pt>
                <c:pt idx="21">
                  <c:v>2029.39490115541</c:v>
                </c:pt>
                <c:pt idx="22">
                  <c:v>2088.2127427727501</c:v>
                </c:pt>
                <c:pt idx="23">
                  <c:v>2353.4763339707001</c:v>
                </c:pt>
                <c:pt idx="24">
                  <c:v>2533.9728351817298</c:v>
                </c:pt>
                <c:pt idx="25">
                  <c:v>2621.8399454335099</c:v>
                </c:pt>
                <c:pt idx="26">
                  <c:v>2592.4999003197299</c:v>
                </c:pt>
                <c:pt idx="27">
                  <c:v>2628.1628355162702</c:v>
                </c:pt>
                <c:pt idx="28">
                  <c:v>2963.0573533103202</c:v>
                </c:pt>
              </c:numCache>
            </c:numRef>
          </c:val>
          <c:extLst>
            <c:ext xmlns:c16="http://schemas.microsoft.com/office/drawing/2014/chart" uri="{C3380CC4-5D6E-409C-BE32-E72D297353CC}">
              <c16:uniqueId val="{00000004-9B3D-48C2-BDAA-A854792CCA33}"/>
            </c:ext>
          </c:extLst>
        </c:ser>
        <c:ser>
          <c:idx val="5"/>
          <c:order val="5"/>
          <c:tx>
            <c:strRef>
              <c:f>'biofuel-production'!$G$7</c:f>
              <c:strCache>
                <c:ptCount val="1"/>
                <c:pt idx="0">
                  <c:v>North America</c:v>
                </c:pt>
              </c:strCache>
            </c:strRef>
          </c:tx>
          <c:spPr>
            <a:solidFill>
              <a:schemeClr val="accent6"/>
            </a:solidFill>
            <a:ln>
              <a:noFill/>
            </a:ln>
            <a:effectLst/>
          </c:spPr>
          <c:cat>
            <c:numRef>
              <c:f>'biofuel-production'!$H$1:$AJ$1</c:f>
              <c:numCache>
                <c:formatCode>General</c:formatCode>
                <c:ptCount val="29"/>
                <c:pt idx="0">
                  <c:v>1990</c:v>
                </c:pt>
                <c:pt idx="1">
                  <c:v>1991</c:v>
                </c:pt>
                <c:pt idx="2">
                  <c:v>1992</c:v>
                </c:pt>
                <c:pt idx="3">
                  <c:v>1993</c:v>
                </c:pt>
                <c:pt idx="4">
                  <c:v>1994</c:v>
                </c:pt>
                <c:pt idx="5">
                  <c:v>1995</c:v>
                </c:pt>
                <c:pt idx="6">
                  <c:v>1996</c:v>
                </c:pt>
                <c:pt idx="7">
                  <c:v>1997</c:v>
                </c:pt>
                <c:pt idx="8">
                  <c:v>1998</c:v>
                </c:pt>
                <c:pt idx="9">
                  <c:v>1999</c:v>
                </c:pt>
                <c:pt idx="10">
                  <c:v>2000</c:v>
                </c:pt>
                <c:pt idx="11">
                  <c:v>2001</c:v>
                </c:pt>
                <c:pt idx="12">
                  <c:v>2002</c:v>
                </c:pt>
                <c:pt idx="13">
                  <c:v>2003</c:v>
                </c:pt>
                <c:pt idx="14">
                  <c:v>2004</c:v>
                </c:pt>
                <c:pt idx="15">
                  <c:v>2005</c:v>
                </c:pt>
                <c:pt idx="16">
                  <c:v>2006</c:v>
                </c:pt>
                <c:pt idx="17">
                  <c:v>2007</c:v>
                </c:pt>
                <c:pt idx="18">
                  <c:v>2008</c:v>
                </c:pt>
                <c:pt idx="19">
                  <c:v>2009</c:v>
                </c:pt>
                <c:pt idx="20">
                  <c:v>2010</c:v>
                </c:pt>
                <c:pt idx="21">
                  <c:v>2011</c:v>
                </c:pt>
                <c:pt idx="22">
                  <c:v>2012</c:v>
                </c:pt>
                <c:pt idx="23">
                  <c:v>2013</c:v>
                </c:pt>
                <c:pt idx="24">
                  <c:v>2014</c:v>
                </c:pt>
                <c:pt idx="25">
                  <c:v>2015</c:v>
                </c:pt>
                <c:pt idx="26">
                  <c:v>2016</c:v>
                </c:pt>
                <c:pt idx="27">
                  <c:v>2017</c:v>
                </c:pt>
                <c:pt idx="28">
                  <c:v>2018</c:v>
                </c:pt>
              </c:numCache>
            </c:numRef>
          </c:cat>
          <c:val>
            <c:numRef>
              <c:f>'biofuel-production'!$H$7:$AJ$7</c:f>
              <c:numCache>
                <c:formatCode>General</c:formatCode>
                <c:ptCount val="29"/>
                <c:pt idx="0">
                  <c:v>176.69275522586901</c:v>
                </c:pt>
                <c:pt idx="1">
                  <c:v>204.73922446689099</c:v>
                </c:pt>
                <c:pt idx="2">
                  <c:v>232.785693707912</c:v>
                </c:pt>
                <c:pt idx="3">
                  <c:v>272.79643658810301</c:v>
                </c:pt>
                <c:pt idx="4">
                  <c:v>304.60812991021299</c:v>
                </c:pt>
                <c:pt idx="5">
                  <c:v>320.846485690235</c:v>
                </c:pt>
                <c:pt idx="6">
                  <c:v>230.056607744107</c:v>
                </c:pt>
                <c:pt idx="7">
                  <c:v>304.45924523007898</c:v>
                </c:pt>
                <c:pt idx="8">
                  <c:v>332.042613636363</c:v>
                </c:pt>
                <c:pt idx="9">
                  <c:v>352.37529812009001</c:v>
                </c:pt>
                <c:pt idx="10">
                  <c:v>396.83921156004499</c:v>
                </c:pt>
                <c:pt idx="11">
                  <c:v>434.25271045537102</c:v>
                </c:pt>
                <c:pt idx="12">
                  <c:v>523.89139195883797</c:v>
                </c:pt>
                <c:pt idx="13">
                  <c:v>682.16487893015403</c:v>
                </c:pt>
                <c:pt idx="14">
                  <c:v>829.28319477011496</c:v>
                </c:pt>
                <c:pt idx="15">
                  <c:v>971.60349041550899</c:v>
                </c:pt>
                <c:pt idx="16">
                  <c:v>1261.0274616640199</c:v>
                </c:pt>
                <c:pt idx="17">
                  <c:v>1769.0484225396599</c:v>
                </c:pt>
                <c:pt idx="18">
                  <c:v>2497.72353714562</c:v>
                </c:pt>
                <c:pt idx="19">
                  <c:v>2851.9141738606299</c:v>
                </c:pt>
                <c:pt idx="20">
                  <c:v>3362.7191456739902</c:v>
                </c:pt>
                <c:pt idx="21">
                  <c:v>3744.63069517652</c:v>
                </c:pt>
                <c:pt idx="22">
                  <c:v>3589.74704287845</c:v>
                </c:pt>
                <c:pt idx="23">
                  <c:v>3730.6105631394198</c:v>
                </c:pt>
                <c:pt idx="24">
                  <c:v>3956.1923891425699</c:v>
                </c:pt>
                <c:pt idx="25">
                  <c:v>4072.5877914533899</c:v>
                </c:pt>
                <c:pt idx="26">
                  <c:v>4332.9081078485297</c:v>
                </c:pt>
                <c:pt idx="27">
                  <c:v>4477.9756910552796</c:v>
                </c:pt>
                <c:pt idx="28">
                  <c:v>4598.0662755205503</c:v>
                </c:pt>
              </c:numCache>
            </c:numRef>
          </c:val>
          <c:extLst>
            <c:ext xmlns:c16="http://schemas.microsoft.com/office/drawing/2014/chart" uri="{C3380CC4-5D6E-409C-BE32-E72D297353CC}">
              <c16:uniqueId val="{00000005-9B3D-48C2-BDAA-A854792CCA33}"/>
            </c:ext>
          </c:extLst>
        </c:ser>
        <c:dLbls>
          <c:showLegendKey val="0"/>
          <c:showVal val="0"/>
          <c:showCatName val="0"/>
          <c:showSerName val="0"/>
          <c:showPercent val="0"/>
          <c:showBubbleSize val="0"/>
        </c:dLbls>
        <c:axId val="-1751046560"/>
        <c:axId val="-1751065600"/>
      </c:areaChart>
      <c:catAx>
        <c:axId val="-1751046560"/>
        <c:scaling>
          <c:orientation val="minMax"/>
        </c:scaling>
        <c:delete val="0"/>
        <c:axPos val="b"/>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1751065600"/>
        <c:crosses val="autoZero"/>
        <c:auto val="1"/>
        <c:lblAlgn val="ctr"/>
        <c:lblOffset val="100"/>
        <c:noMultiLvlLbl val="0"/>
      </c:catAx>
      <c:valAx>
        <c:axId val="-175106560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1751046560"/>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legend>
    <c:plotVisOnly val="1"/>
    <c:dispBlanksAs val="zero"/>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pl-PL" b="1"/>
              <a:t>Produkcja energii</a:t>
            </a:r>
            <a:r>
              <a:rPr lang="pl-PL" b="1" baseline="0"/>
              <a:t> geotermalnej</a:t>
            </a:r>
            <a:endParaRPr lang="en-GB" b="1"/>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pl-PL"/>
        </a:p>
      </c:txPr>
    </c:title>
    <c:autoTitleDeleted val="0"/>
    <c:plotArea>
      <c:layout/>
      <c:lineChart>
        <c:grouping val="standard"/>
        <c:varyColors val="0"/>
        <c:ser>
          <c:idx val="0"/>
          <c:order val="0"/>
          <c:tx>
            <c:strRef>
              <c:f>'installed-geothermal-capacity'!$F$254</c:f>
              <c:strCache>
                <c:ptCount val="1"/>
                <c:pt idx="0">
                  <c:v>Iceland</c:v>
                </c:pt>
              </c:strCache>
            </c:strRef>
          </c:tx>
          <c:spPr>
            <a:ln w="28575" cap="rnd">
              <a:solidFill>
                <a:schemeClr val="accent1"/>
              </a:solidFill>
              <a:round/>
            </a:ln>
            <a:effectLst/>
          </c:spPr>
          <c:marker>
            <c:symbol val="none"/>
          </c:marker>
          <c:cat>
            <c:numRef>
              <c:f>'installed-geothermal-capacity'!$G$1:$AA$253</c:f>
              <c:numCache>
                <c:formatCode>General</c:formatCode>
                <c:ptCount val="21"/>
                <c:pt idx="0">
                  <c:v>1990</c:v>
                </c:pt>
                <c:pt idx="1">
                  <c:v>1995</c:v>
                </c:pt>
                <c:pt idx="2">
                  <c:v>2000</c:v>
                </c:pt>
                <c:pt idx="3">
                  <c:v>2001</c:v>
                </c:pt>
                <c:pt idx="4">
                  <c:v>2002</c:v>
                </c:pt>
                <c:pt idx="5">
                  <c:v>2003</c:v>
                </c:pt>
                <c:pt idx="6">
                  <c:v>2004</c:v>
                </c:pt>
                <c:pt idx="7">
                  <c:v>2005</c:v>
                </c:pt>
                <c:pt idx="8">
                  <c:v>2006</c:v>
                </c:pt>
                <c:pt idx="9">
                  <c:v>2007</c:v>
                </c:pt>
                <c:pt idx="10">
                  <c:v>2008</c:v>
                </c:pt>
                <c:pt idx="11">
                  <c:v>2009</c:v>
                </c:pt>
                <c:pt idx="12">
                  <c:v>2010</c:v>
                </c:pt>
                <c:pt idx="13">
                  <c:v>2011</c:v>
                </c:pt>
                <c:pt idx="14">
                  <c:v>2012</c:v>
                </c:pt>
                <c:pt idx="15">
                  <c:v>2013</c:v>
                </c:pt>
                <c:pt idx="16">
                  <c:v>2014</c:v>
                </c:pt>
                <c:pt idx="17">
                  <c:v>2015</c:v>
                </c:pt>
                <c:pt idx="18">
                  <c:v>2016</c:v>
                </c:pt>
                <c:pt idx="19">
                  <c:v>2017</c:v>
                </c:pt>
                <c:pt idx="20">
                  <c:v>2018</c:v>
                </c:pt>
              </c:numCache>
            </c:numRef>
          </c:cat>
          <c:val>
            <c:numRef>
              <c:f>'installed-geothermal-capacity'!$G$254:$AA$254</c:f>
              <c:numCache>
                <c:formatCode>General</c:formatCode>
                <c:ptCount val="21"/>
                <c:pt idx="0">
                  <c:v>44.8</c:v>
                </c:pt>
                <c:pt idx="1">
                  <c:v>49.6</c:v>
                </c:pt>
                <c:pt idx="2">
                  <c:v>172</c:v>
                </c:pt>
                <c:pt idx="3">
                  <c:v>202</c:v>
                </c:pt>
                <c:pt idx="4">
                  <c:v>202</c:v>
                </c:pt>
                <c:pt idx="5">
                  <c:v>202</c:v>
                </c:pt>
                <c:pt idx="6">
                  <c:v>202</c:v>
                </c:pt>
                <c:pt idx="7">
                  <c:v>232</c:v>
                </c:pt>
                <c:pt idx="8">
                  <c:v>422</c:v>
                </c:pt>
                <c:pt idx="9">
                  <c:v>485</c:v>
                </c:pt>
                <c:pt idx="10">
                  <c:v>575</c:v>
                </c:pt>
                <c:pt idx="11">
                  <c:v>575</c:v>
                </c:pt>
                <c:pt idx="12">
                  <c:v>575</c:v>
                </c:pt>
                <c:pt idx="13">
                  <c:v>665</c:v>
                </c:pt>
                <c:pt idx="14">
                  <c:v>665</c:v>
                </c:pt>
                <c:pt idx="15">
                  <c:v>665</c:v>
                </c:pt>
                <c:pt idx="16">
                  <c:v>665</c:v>
                </c:pt>
                <c:pt idx="17">
                  <c:v>665</c:v>
                </c:pt>
                <c:pt idx="18">
                  <c:v>663</c:v>
                </c:pt>
                <c:pt idx="19">
                  <c:v>708</c:v>
                </c:pt>
                <c:pt idx="20">
                  <c:v>753</c:v>
                </c:pt>
              </c:numCache>
            </c:numRef>
          </c:val>
          <c:smooth val="0"/>
          <c:extLst>
            <c:ext xmlns:c16="http://schemas.microsoft.com/office/drawing/2014/chart" uri="{C3380CC4-5D6E-409C-BE32-E72D297353CC}">
              <c16:uniqueId val="{00000000-7933-4A1F-8005-8927B947BACF}"/>
            </c:ext>
          </c:extLst>
        </c:ser>
        <c:ser>
          <c:idx val="1"/>
          <c:order val="1"/>
          <c:tx>
            <c:strRef>
              <c:f>'installed-geothermal-capacity'!$F$255</c:f>
              <c:strCache>
                <c:ptCount val="1"/>
                <c:pt idx="0">
                  <c:v>Indonesia</c:v>
                </c:pt>
              </c:strCache>
            </c:strRef>
          </c:tx>
          <c:spPr>
            <a:ln w="28575" cap="rnd">
              <a:solidFill>
                <a:schemeClr val="accent2"/>
              </a:solidFill>
              <a:round/>
            </a:ln>
            <a:effectLst/>
          </c:spPr>
          <c:marker>
            <c:symbol val="none"/>
          </c:marker>
          <c:cat>
            <c:numRef>
              <c:f>'installed-geothermal-capacity'!$G$1:$AA$253</c:f>
              <c:numCache>
                <c:formatCode>General</c:formatCode>
                <c:ptCount val="21"/>
                <c:pt idx="0">
                  <c:v>1990</c:v>
                </c:pt>
                <c:pt idx="1">
                  <c:v>1995</c:v>
                </c:pt>
                <c:pt idx="2">
                  <c:v>2000</c:v>
                </c:pt>
                <c:pt idx="3">
                  <c:v>2001</c:v>
                </c:pt>
                <c:pt idx="4">
                  <c:v>2002</c:v>
                </c:pt>
                <c:pt idx="5">
                  <c:v>2003</c:v>
                </c:pt>
                <c:pt idx="6">
                  <c:v>2004</c:v>
                </c:pt>
                <c:pt idx="7">
                  <c:v>2005</c:v>
                </c:pt>
                <c:pt idx="8">
                  <c:v>2006</c:v>
                </c:pt>
                <c:pt idx="9">
                  <c:v>2007</c:v>
                </c:pt>
                <c:pt idx="10">
                  <c:v>2008</c:v>
                </c:pt>
                <c:pt idx="11">
                  <c:v>2009</c:v>
                </c:pt>
                <c:pt idx="12">
                  <c:v>2010</c:v>
                </c:pt>
                <c:pt idx="13">
                  <c:v>2011</c:v>
                </c:pt>
                <c:pt idx="14">
                  <c:v>2012</c:v>
                </c:pt>
                <c:pt idx="15">
                  <c:v>2013</c:v>
                </c:pt>
                <c:pt idx="16">
                  <c:v>2014</c:v>
                </c:pt>
                <c:pt idx="17">
                  <c:v>2015</c:v>
                </c:pt>
                <c:pt idx="18">
                  <c:v>2016</c:v>
                </c:pt>
                <c:pt idx="19">
                  <c:v>2017</c:v>
                </c:pt>
                <c:pt idx="20">
                  <c:v>2018</c:v>
                </c:pt>
              </c:numCache>
            </c:numRef>
          </c:cat>
          <c:val>
            <c:numRef>
              <c:f>'installed-geothermal-capacity'!$G$255:$AA$255</c:f>
              <c:numCache>
                <c:formatCode>General</c:formatCode>
                <c:ptCount val="21"/>
                <c:pt idx="0">
                  <c:v>144.80000000000001</c:v>
                </c:pt>
                <c:pt idx="1">
                  <c:v>309.8</c:v>
                </c:pt>
                <c:pt idx="2">
                  <c:v>525</c:v>
                </c:pt>
                <c:pt idx="3">
                  <c:v>785</c:v>
                </c:pt>
                <c:pt idx="4">
                  <c:v>785</c:v>
                </c:pt>
                <c:pt idx="5">
                  <c:v>805</c:v>
                </c:pt>
                <c:pt idx="6">
                  <c:v>820</c:v>
                </c:pt>
                <c:pt idx="7">
                  <c:v>850</c:v>
                </c:pt>
                <c:pt idx="8">
                  <c:v>850</c:v>
                </c:pt>
                <c:pt idx="9">
                  <c:v>980</c:v>
                </c:pt>
                <c:pt idx="10">
                  <c:v>1052</c:v>
                </c:pt>
                <c:pt idx="11">
                  <c:v>1189</c:v>
                </c:pt>
                <c:pt idx="12">
                  <c:v>1189</c:v>
                </c:pt>
                <c:pt idx="13">
                  <c:v>1226</c:v>
                </c:pt>
                <c:pt idx="14">
                  <c:v>1336</c:v>
                </c:pt>
                <c:pt idx="15">
                  <c:v>1343.5</c:v>
                </c:pt>
                <c:pt idx="16">
                  <c:v>1403.5</c:v>
                </c:pt>
                <c:pt idx="17">
                  <c:v>1438.5</c:v>
                </c:pt>
                <c:pt idx="18">
                  <c:v>1643.5</c:v>
                </c:pt>
                <c:pt idx="19">
                  <c:v>1808.5</c:v>
                </c:pt>
                <c:pt idx="20">
                  <c:v>1945.5</c:v>
                </c:pt>
              </c:numCache>
            </c:numRef>
          </c:val>
          <c:smooth val="0"/>
          <c:extLst>
            <c:ext xmlns:c16="http://schemas.microsoft.com/office/drawing/2014/chart" uri="{C3380CC4-5D6E-409C-BE32-E72D297353CC}">
              <c16:uniqueId val="{00000001-7933-4A1F-8005-8927B947BACF}"/>
            </c:ext>
          </c:extLst>
        </c:ser>
        <c:ser>
          <c:idx val="2"/>
          <c:order val="2"/>
          <c:tx>
            <c:strRef>
              <c:f>'installed-geothermal-capacity'!$F$256</c:f>
              <c:strCache>
                <c:ptCount val="1"/>
                <c:pt idx="0">
                  <c:v>Italy</c:v>
                </c:pt>
              </c:strCache>
            </c:strRef>
          </c:tx>
          <c:spPr>
            <a:ln w="28575" cap="rnd">
              <a:solidFill>
                <a:schemeClr val="accent3"/>
              </a:solidFill>
              <a:round/>
            </a:ln>
            <a:effectLst/>
          </c:spPr>
          <c:marker>
            <c:symbol val="none"/>
          </c:marker>
          <c:cat>
            <c:numRef>
              <c:f>'installed-geothermal-capacity'!$G$1:$AA$253</c:f>
              <c:numCache>
                <c:formatCode>General</c:formatCode>
                <c:ptCount val="21"/>
                <c:pt idx="0">
                  <c:v>1990</c:v>
                </c:pt>
                <c:pt idx="1">
                  <c:v>1995</c:v>
                </c:pt>
                <c:pt idx="2">
                  <c:v>2000</c:v>
                </c:pt>
                <c:pt idx="3">
                  <c:v>2001</c:v>
                </c:pt>
                <c:pt idx="4">
                  <c:v>2002</c:v>
                </c:pt>
                <c:pt idx="5">
                  <c:v>2003</c:v>
                </c:pt>
                <c:pt idx="6">
                  <c:v>2004</c:v>
                </c:pt>
                <c:pt idx="7">
                  <c:v>2005</c:v>
                </c:pt>
                <c:pt idx="8">
                  <c:v>2006</c:v>
                </c:pt>
                <c:pt idx="9">
                  <c:v>2007</c:v>
                </c:pt>
                <c:pt idx="10">
                  <c:v>2008</c:v>
                </c:pt>
                <c:pt idx="11">
                  <c:v>2009</c:v>
                </c:pt>
                <c:pt idx="12">
                  <c:v>2010</c:v>
                </c:pt>
                <c:pt idx="13">
                  <c:v>2011</c:v>
                </c:pt>
                <c:pt idx="14">
                  <c:v>2012</c:v>
                </c:pt>
                <c:pt idx="15">
                  <c:v>2013</c:v>
                </c:pt>
                <c:pt idx="16">
                  <c:v>2014</c:v>
                </c:pt>
                <c:pt idx="17">
                  <c:v>2015</c:v>
                </c:pt>
                <c:pt idx="18">
                  <c:v>2016</c:v>
                </c:pt>
                <c:pt idx="19">
                  <c:v>2017</c:v>
                </c:pt>
                <c:pt idx="20">
                  <c:v>2018</c:v>
                </c:pt>
              </c:numCache>
            </c:numRef>
          </c:cat>
          <c:val>
            <c:numRef>
              <c:f>'installed-geothermal-capacity'!$G$256:$AA$256</c:f>
              <c:numCache>
                <c:formatCode>General</c:formatCode>
                <c:ptCount val="21"/>
                <c:pt idx="0">
                  <c:v>545</c:v>
                </c:pt>
                <c:pt idx="1">
                  <c:v>631.70000000000005</c:v>
                </c:pt>
                <c:pt idx="2">
                  <c:v>590</c:v>
                </c:pt>
                <c:pt idx="3">
                  <c:v>573</c:v>
                </c:pt>
                <c:pt idx="4">
                  <c:v>666</c:v>
                </c:pt>
                <c:pt idx="5">
                  <c:v>707</c:v>
                </c:pt>
                <c:pt idx="6">
                  <c:v>642</c:v>
                </c:pt>
                <c:pt idx="7">
                  <c:v>671</c:v>
                </c:pt>
                <c:pt idx="8">
                  <c:v>671</c:v>
                </c:pt>
                <c:pt idx="9">
                  <c:v>671</c:v>
                </c:pt>
                <c:pt idx="10">
                  <c:v>671</c:v>
                </c:pt>
                <c:pt idx="11">
                  <c:v>695</c:v>
                </c:pt>
                <c:pt idx="12">
                  <c:v>728</c:v>
                </c:pt>
                <c:pt idx="13">
                  <c:v>728</c:v>
                </c:pt>
                <c:pt idx="14">
                  <c:v>728</c:v>
                </c:pt>
                <c:pt idx="15">
                  <c:v>729</c:v>
                </c:pt>
                <c:pt idx="16">
                  <c:v>768</c:v>
                </c:pt>
                <c:pt idx="17">
                  <c:v>768</c:v>
                </c:pt>
                <c:pt idx="18">
                  <c:v>767</c:v>
                </c:pt>
                <c:pt idx="19">
                  <c:v>767.2</c:v>
                </c:pt>
                <c:pt idx="20">
                  <c:v>767.2</c:v>
                </c:pt>
              </c:numCache>
            </c:numRef>
          </c:val>
          <c:smooth val="0"/>
          <c:extLst>
            <c:ext xmlns:c16="http://schemas.microsoft.com/office/drawing/2014/chart" uri="{C3380CC4-5D6E-409C-BE32-E72D297353CC}">
              <c16:uniqueId val="{00000002-7933-4A1F-8005-8927B947BACF}"/>
            </c:ext>
          </c:extLst>
        </c:ser>
        <c:ser>
          <c:idx val="3"/>
          <c:order val="3"/>
          <c:tx>
            <c:strRef>
              <c:f>'installed-geothermal-capacity'!$F$257</c:f>
              <c:strCache>
                <c:ptCount val="1"/>
                <c:pt idx="0">
                  <c:v>Mexico</c:v>
                </c:pt>
              </c:strCache>
            </c:strRef>
          </c:tx>
          <c:spPr>
            <a:ln w="28575" cap="rnd">
              <a:solidFill>
                <a:schemeClr val="accent4"/>
              </a:solidFill>
              <a:round/>
            </a:ln>
            <a:effectLst/>
          </c:spPr>
          <c:marker>
            <c:symbol val="none"/>
          </c:marker>
          <c:cat>
            <c:numRef>
              <c:f>'installed-geothermal-capacity'!$G$1:$AA$253</c:f>
              <c:numCache>
                <c:formatCode>General</c:formatCode>
                <c:ptCount val="21"/>
                <c:pt idx="0">
                  <c:v>1990</c:v>
                </c:pt>
                <c:pt idx="1">
                  <c:v>1995</c:v>
                </c:pt>
                <c:pt idx="2">
                  <c:v>2000</c:v>
                </c:pt>
                <c:pt idx="3">
                  <c:v>2001</c:v>
                </c:pt>
                <c:pt idx="4">
                  <c:v>2002</c:v>
                </c:pt>
                <c:pt idx="5">
                  <c:v>2003</c:v>
                </c:pt>
                <c:pt idx="6">
                  <c:v>2004</c:v>
                </c:pt>
                <c:pt idx="7">
                  <c:v>2005</c:v>
                </c:pt>
                <c:pt idx="8">
                  <c:v>2006</c:v>
                </c:pt>
                <c:pt idx="9">
                  <c:v>2007</c:v>
                </c:pt>
                <c:pt idx="10">
                  <c:v>2008</c:v>
                </c:pt>
                <c:pt idx="11">
                  <c:v>2009</c:v>
                </c:pt>
                <c:pt idx="12">
                  <c:v>2010</c:v>
                </c:pt>
                <c:pt idx="13">
                  <c:v>2011</c:v>
                </c:pt>
                <c:pt idx="14">
                  <c:v>2012</c:v>
                </c:pt>
                <c:pt idx="15">
                  <c:v>2013</c:v>
                </c:pt>
                <c:pt idx="16">
                  <c:v>2014</c:v>
                </c:pt>
                <c:pt idx="17">
                  <c:v>2015</c:v>
                </c:pt>
                <c:pt idx="18">
                  <c:v>2016</c:v>
                </c:pt>
                <c:pt idx="19">
                  <c:v>2017</c:v>
                </c:pt>
                <c:pt idx="20">
                  <c:v>2018</c:v>
                </c:pt>
              </c:numCache>
            </c:numRef>
          </c:cat>
          <c:val>
            <c:numRef>
              <c:f>'installed-geothermal-capacity'!$G$257:$AA$257</c:f>
              <c:numCache>
                <c:formatCode>General</c:formatCode>
                <c:ptCount val="21"/>
                <c:pt idx="0">
                  <c:v>743</c:v>
                </c:pt>
                <c:pt idx="1">
                  <c:v>743</c:v>
                </c:pt>
                <c:pt idx="2">
                  <c:v>855</c:v>
                </c:pt>
                <c:pt idx="3">
                  <c:v>838</c:v>
                </c:pt>
                <c:pt idx="4">
                  <c:v>843</c:v>
                </c:pt>
                <c:pt idx="5">
                  <c:v>960</c:v>
                </c:pt>
                <c:pt idx="6">
                  <c:v>960</c:v>
                </c:pt>
                <c:pt idx="7">
                  <c:v>960</c:v>
                </c:pt>
                <c:pt idx="8">
                  <c:v>960</c:v>
                </c:pt>
                <c:pt idx="9">
                  <c:v>960</c:v>
                </c:pt>
                <c:pt idx="10">
                  <c:v>963</c:v>
                </c:pt>
                <c:pt idx="11">
                  <c:v>965</c:v>
                </c:pt>
                <c:pt idx="12">
                  <c:v>965</c:v>
                </c:pt>
                <c:pt idx="13">
                  <c:v>887</c:v>
                </c:pt>
                <c:pt idx="14">
                  <c:v>824</c:v>
                </c:pt>
                <c:pt idx="15">
                  <c:v>823</c:v>
                </c:pt>
                <c:pt idx="16">
                  <c:v>813</c:v>
                </c:pt>
                <c:pt idx="17">
                  <c:v>906</c:v>
                </c:pt>
                <c:pt idx="18">
                  <c:v>926</c:v>
                </c:pt>
                <c:pt idx="19">
                  <c:v>925.7</c:v>
                </c:pt>
                <c:pt idx="20">
                  <c:v>950.6</c:v>
                </c:pt>
              </c:numCache>
            </c:numRef>
          </c:val>
          <c:smooth val="0"/>
          <c:extLst>
            <c:ext xmlns:c16="http://schemas.microsoft.com/office/drawing/2014/chart" uri="{C3380CC4-5D6E-409C-BE32-E72D297353CC}">
              <c16:uniqueId val="{00000003-7933-4A1F-8005-8927B947BACF}"/>
            </c:ext>
          </c:extLst>
        </c:ser>
        <c:ser>
          <c:idx val="4"/>
          <c:order val="4"/>
          <c:tx>
            <c:strRef>
              <c:f>'installed-geothermal-capacity'!$F$258</c:f>
              <c:strCache>
                <c:ptCount val="1"/>
                <c:pt idx="0">
                  <c:v>New Zealand</c:v>
                </c:pt>
              </c:strCache>
            </c:strRef>
          </c:tx>
          <c:spPr>
            <a:ln w="28575" cap="rnd">
              <a:solidFill>
                <a:schemeClr val="accent5"/>
              </a:solidFill>
              <a:round/>
            </a:ln>
            <a:effectLst/>
          </c:spPr>
          <c:marker>
            <c:symbol val="none"/>
          </c:marker>
          <c:cat>
            <c:numRef>
              <c:f>'installed-geothermal-capacity'!$G$1:$AA$253</c:f>
              <c:numCache>
                <c:formatCode>General</c:formatCode>
                <c:ptCount val="21"/>
                <c:pt idx="0">
                  <c:v>1990</c:v>
                </c:pt>
                <c:pt idx="1">
                  <c:v>1995</c:v>
                </c:pt>
                <c:pt idx="2">
                  <c:v>2000</c:v>
                </c:pt>
                <c:pt idx="3">
                  <c:v>2001</c:v>
                </c:pt>
                <c:pt idx="4">
                  <c:v>2002</c:v>
                </c:pt>
                <c:pt idx="5">
                  <c:v>2003</c:v>
                </c:pt>
                <c:pt idx="6">
                  <c:v>2004</c:v>
                </c:pt>
                <c:pt idx="7">
                  <c:v>2005</c:v>
                </c:pt>
                <c:pt idx="8">
                  <c:v>2006</c:v>
                </c:pt>
                <c:pt idx="9">
                  <c:v>2007</c:v>
                </c:pt>
                <c:pt idx="10">
                  <c:v>2008</c:v>
                </c:pt>
                <c:pt idx="11">
                  <c:v>2009</c:v>
                </c:pt>
                <c:pt idx="12">
                  <c:v>2010</c:v>
                </c:pt>
                <c:pt idx="13">
                  <c:v>2011</c:v>
                </c:pt>
                <c:pt idx="14">
                  <c:v>2012</c:v>
                </c:pt>
                <c:pt idx="15">
                  <c:v>2013</c:v>
                </c:pt>
                <c:pt idx="16">
                  <c:v>2014</c:v>
                </c:pt>
                <c:pt idx="17">
                  <c:v>2015</c:v>
                </c:pt>
                <c:pt idx="18">
                  <c:v>2016</c:v>
                </c:pt>
                <c:pt idx="19">
                  <c:v>2017</c:v>
                </c:pt>
                <c:pt idx="20">
                  <c:v>2018</c:v>
                </c:pt>
              </c:numCache>
            </c:numRef>
          </c:cat>
          <c:val>
            <c:numRef>
              <c:f>'installed-geothermal-capacity'!$G$258:$AA$258</c:f>
              <c:numCache>
                <c:formatCode>General</c:formatCode>
                <c:ptCount val="21"/>
                <c:pt idx="0">
                  <c:v>261</c:v>
                </c:pt>
                <c:pt idx="1">
                  <c:v>265</c:v>
                </c:pt>
                <c:pt idx="2">
                  <c:v>418</c:v>
                </c:pt>
                <c:pt idx="3">
                  <c:v>417</c:v>
                </c:pt>
                <c:pt idx="4">
                  <c:v>373</c:v>
                </c:pt>
                <c:pt idx="5">
                  <c:v>378</c:v>
                </c:pt>
                <c:pt idx="6">
                  <c:v>378</c:v>
                </c:pt>
                <c:pt idx="7">
                  <c:v>433</c:v>
                </c:pt>
                <c:pt idx="8">
                  <c:v>433</c:v>
                </c:pt>
                <c:pt idx="9">
                  <c:v>451</c:v>
                </c:pt>
                <c:pt idx="10">
                  <c:v>593</c:v>
                </c:pt>
                <c:pt idx="11">
                  <c:v>633</c:v>
                </c:pt>
                <c:pt idx="12">
                  <c:v>731</c:v>
                </c:pt>
                <c:pt idx="13">
                  <c:v>731</c:v>
                </c:pt>
                <c:pt idx="14">
                  <c:v>731</c:v>
                </c:pt>
                <c:pt idx="15">
                  <c:v>813</c:v>
                </c:pt>
                <c:pt idx="16">
                  <c:v>979</c:v>
                </c:pt>
                <c:pt idx="17">
                  <c:v>986</c:v>
                </c:pt>
                <c:pt idx="18">
                  <c:v>971</c:v>
                </c:pt>
                <c:pt idx="19">
                  <c:v>971</c:v>
                </c:pt>
                <c:pt idx="20">
                  <c:v>996</c:v>
                </c:pt>
              </c:numCache>
            </c:numRef>
          </c:val>
          <c:smooth val="0"/>
          <c:extLst>
            <c:ext xmlns:c16="http://schemas.microsoft.com/office/drawing/2014/chart" uri="{C3380CC4-5D6E-409C-BE32-E72D297353CC}">
              <c16:uniqueId val="{00000004-7933-4A1F-8005-8927B947BACF}"/>
            </c:ext>
          </c:extLst>
        </c:ser>
        <c:ser>
          <c:idx val="5"/>
          <c:order val="5"/>
          <c:tx>
            <c:strRef>
              <c:f>'installed-geothermal-capacity'!$F$259</c:f>
              <c:strCache>
                <c:ptCount val="1"/>
                <c:pt idx="0">
                  <c:v>Philippines</c:v>
                </c:pt>
              </c:strCache>
            </c:strRef>
          </c:tx>
          <c:spPr>
            <a:ln w="28575" cap="rnd">
              <a:solidFill>
                <a:schemeClr val="accent6"/>
              </a:solidFill>
              <a:round/>
            </a:ln>
            <a:effectLst/>
          </c:spPr>
          <c:marker>
            <c:symbol val="none"/>
          </c:marker>
          <c:cat>
            <c:numRef>
              <c:f>'installed-geothermal-capacity'!$G$1:$AA$253</c:f>
              <c:numCache>
                <c:formatCode>General</c:formatCode>
                <c:ptCount val="21"/>
                <c:pt idx="0">
                  <c:v>1990</c:v>
                </c:pt>
                <c:pt idx="1">
                  <c:v>1995</c:v>
                </c:pt>
                <c:pt idx="2">
                  <c:v>2000</c:v>
                </c:pt>
                <c:pt idx="3">
                  <c:v>2001</c:v>
                </c:pt>
                <c:pt idx="4">
                  <c:v>2002</c:v>
                </c:pt>
                <c:pt idx="5">
                  <c:v>2003</c:v>
                </c:pt>
                <c:pt idx="6">
                  <c:v>2004</c:v>
                </c:pt>
                <c:pt idx="7">
                  <c:v>2005</c:v>
                </c:pt>
                <c:pt idx="8">
                  <c:v>2006</c:v>
                </c:pt>
                <c:pt idx="9">
                  <c:v>2007</c:v>
                </c:pt>
                <c:pt idx="10">
                  <c:v>2008</c:v>
                </c:pt>
                <c:pt idx="11">
                  <c:v>2009</c:v>
                </c:pt>
                <c:pt idx="12">
                  <c:v>2010</c:v>
                </c:pt>
                <c:pt idx="13">
                  <c:v>2011</c:v>
                </c:pt>
                <c:pt idx="14">
                  <c:v>2012</c:v>
                </c:pt>
                <c:pt idx="15">
                  <c:v>2013</c:v>
                </c:pt>
                <c:pt idx="16">
                  <c:v>2014</c:v>
                </c:pt>
                <c:pt idx="17">
                  <c:v>2015</c:v>
                </c:pt>
                <c:pt idx="18">
                  <c:v>2016</c:v>
                </c:pt>
                <c:pt idx="19">
                  <c:v>2017</c:v>
                </c:pt>
                <c:pt idx="20">
                  <c:v>2018</c:v>
                </c:pt>
              </c:numCache>
            </c:numRef>
          </c:cat>
          <c:val>
            <c:numRef>
              <c:f>'installed-geothermal-capacity'!$G$259:$AA$259</c:f>
              <c:numCache>
                <c:formatCode>General</c:formatCode>
                <c:ptCount val="21"/>
                <c:pt idx="0">
                  <c:v>888</c:v>
                </c:pt>
                <c:pt idx="1">
                  <c:v>1154</c:v>
                </c:pt>
                <c:pt idx="2">
                  <c:v>1846.5</c:v>
                </c:pt>
                <c:pt idx="3">
                  <c:v>1846.5</c:v>
                </c:pt>
                <c:pt idx="4">
                  <c:v>1846.5</c:v>
                </c:pt>
                <c:pt idx="5">
                  <c:v>1846.5</c:v>
                </c:pt>
                <c:pt idx="6">
                  <c:v>1846.5</c:v>
                </c:pt>
                <c:pt idx="7">
                  <c:v>1846.5</c:v>
                </c:pt>
                <c:pt idx="8">
                  <c:v>1846.5</c:v>
                </c:pt>
                <c:pt idx="9">
                  <c:v>1846.5</c:v>
                </c:pt>
                <c:pt idx="10">
                  <c:v>1846.5</c:v>
                </c:pt>
                <c:pt idx="11">
                  <c:v>1846.5</c:v>
                </c:pt>
                <c:pt idx="12">
                  <c:v>1846.5</c:v>
                </c:pt>
                <c:pt idx="13">
                  <c:v>1846.5</c:v>
                </c:pt>
                <c:pt idx="14">
                  <c:v>1846.5</c:v>
                </c:pt>
                <c:pt idx="15">
                  <c:v>1846.5</c:v>
                </c:pt>
                <c:pt idx="16">
                  <c:v>1915.9</c:v>
                </c:pt>
                <c:pt idx="17">
                  <c:v>1915.9</c:v>
                </c:pt>
                <c:pt idx="18">
                  <c:v>1915.9</c:v>
                </c:pt>
                <c:pt idx="19">
                  <c:v>1915.9</c:v>
                </c:pt>
                <c:pt idx="20">
                  <c:v>1927.9</c:v>
                </c:pt>
              </c:numCache>
            </c:numRef>
          </c:val>
          <c:smooth val="0"/>
          <c:extLst>
            <c:ext xmlns:c16="http://schemas.microsoft.com/office/drawing/2014/chart" uri="{C3380CC4-5D6E-409C-BE32-E72D297353CC}">
              <c16:uniqueId val="{00000005-7933-4A1F-8005-8927B947BACF}"/>
            </c:ext>
          </c:extLst>
        </c:ser>
        <c:ser>
          <c:idx val="6"/>
          <c:order val="6"/>
          <c:tx>
            <c:strRef>
              <c:f>'installed-geothermal-capacity'!$F$260</c:f>
              <c:strCache>
                <c:ptCount val="1"/>
                <c:pt idx="0">
                  <c:v>Turkey</c:v>
                </c:pt>
              </c:strCache>
            </c:strRef>
          </c:tx>
          <c:spPr>
            <a:ln w="28575" cap="rnd">
              <a:solidFill>
                <a:schemeClr val="accent1">
                  <a:lumMod val="60000"/>
                </a:schemeClr>
              </a:solidFill>
              <a:round/>
            </a:ln>
            <a:effectLst/>
          </c:spPr>
          <c:marker>
            <c:symbol val="none"/>
          </c:marker>
          <c:cat>
            <c:numRef>
              <c:f>'installed-geothermal-capacity'!$G$1:$AA$253</c:f>
              <c:numCache>
                <c:formatCode>General</c:formatCode>
                <c:ptCount val="21"/>
                <c:pt idx="0">
                  <c:v>1990</c:v>
                </c:pt>
                <c:pt idx="1">
                  <c:v>1995</c:v>
                </c:pt>
                <c:pt idx="2">
                  <c:v>2000</c:v>
                </c:pt>
                <c:pt idx="3">
                  <c:v>2001</c:v>
                </c:pt>
                <c:pt idx="4">
                  <c:v>2002</c:v>
                </c:pt>
                <c:pt idx="5">
                  <c:v>2003</c:v>
                </c:pt>
                <c:pt idx="6">
                  <c:v>2004</c:v>
                </c:pt>
                <c:pt idx="7">
                  <c:v>2005</c:v>
                </c:pt>
                <c:pt idx="8">
                  <c:v>2006</c:v>
                </c:pt>
                <c:pt idx="9">
                  <c:v>2007</c:v>
                </c:pt>
                <c:pt idx="10">
                  <c:v>2008</c:v>
                </c:pt>
                <c:pt idx="11">
                  <c:v>2009</c:v>
                </c:pt>
                <c:pt idx="12">
                  <c:v>2010</c:v>
                </c:pt>
                <c:pt idx="13">
                  <c:v>2011</c:v>
                </c:pt>
                <c:pt idx="14">
                  <c:v>2012</c:v>
                </c:pt>
                <c:pt idx="15">
                  <c:v>2013</c:v>
                </c:pt>
                <c:pt idx="16">
                  <c:v>2014</c:v>
                </c:pt>
                <c:pt idx="17">
                  <c:v>2015</c:v>
                </c:pt>
                <c:pt idx="18">
                  <c:v>2016</c:v>
                </c:pt>
                <c:pt idx="19">
                  <c:v>2017</c:v>
                </c:pt>
                <c:pt idx="20">
                  <c:v>2018</c:v>
                </c:pt>
              </c:numCache>
            </c:numRef>
          </c:cat>
          <c:val>
            <c:numRef>
              <c:f>'installed-geothermal-capacity'!$G$260:$AA$260</c:f>
              <c:numCache>
                <c:formatCode>General</c:formatCode>
                <c:ptCount val="21"/>
                <c:pt idx="0">
                  <c:v>20.6</c:v>
                </c:pt>
                <c:pt idx="1">
                  <c:v>20.399999999999999</c:v>
                </c:pt>
                <c:pt idx="2">
                  <c:v>18</c:v>
                </c:pt>
                <c:pt idx="3">
                  <c:v>18</c:v>
                </c:pt>
                <c:pt idx="4">
                  <c:v>18</c:v>
                </c:pt>
                <c:pt idx="5">
                  <c:v>15</c:v>
                </c:pt>
                <c:pt idx="6">
                  <c:v>15</c:v>
                </c:pt>
                <c:pt idx="7">
                  <c:v>15</c:v>
                </c:pt>
                <c:pt idx="8">
                  <c:v>23</c:v>
                </c:pt>
                <c:pt idx="9">
                  <c:v>23</c:v>
                </c:pt>
                <c:pt idx="10">
                  <c:v>30</c:v>
                </c:pt>
                <c:pt idx="11">
                  <c:v>77</c:v>
                </c:pt>
                <c:pt idx="12">
                  <c:v>94</c:v>
                </c:pt>
                <c:pt idx="13">
                  <c:v>114</c:v>
                </c:pt>
                <c:pt idx="14">
                  <c:v>162</c:v>
                </c:pt>
                <c:pt idx="15">
                  <c:v>311</c:v>
                </c:pt>
                <c:pt idx="16">
                  <c:v>405</c:v>
                </c:pt>
                <c:pt idx="17">
                  <c:v>624</c:v>
                </c:pt>
                <c:pt idx="18">
                  <c:v>821</c:v>
                </c:pt>
                <c:pt idx="19">
                  <c:v>1063.7</c:v>
                </c:pt>
                <c:pt idx="20">
                  <c:v>1282.5</c:v>
                </c:pt>
              </c:numCache>
            </c:numRef>
          </c:val>
          <c:smooth val="0"/>
          <c:extLst>
            <c:ext xmlns:c16="http://schemas.microsoft.com/office/drawing/2014/chart" uri="{C3380CC4-5D6E-409C-BE32-E72D297353CC}">
              <c16:uniqueId val="{00000006-7933-4A1F-8005-8927B947BACF}"/>
            </c:ext>
          </c:extLst>
        </c:ser>
        <c:ser>
          <c:idx val="7"/>
          <c:order val="7"/>
          <c:tx>
            <c:strRef>
              <c:f>'installed-geothermal-capacity'!$F$261</c:f>
              <c:strCache>
                <c:ptCount val="1"/>
                <c:pt idx="0">
                  <c:v>United States</c:v>
                </c:pt>
              </c:strCache>
            </c:strRef>
          </c:tx>
          <c:spPr>
            <a:ln w="28575" cap="rnd">
              <a:solidFill>
                <a:schemeClr val="accent2">
                  <a:lumMod val="60000"/>
                </a:schemeClr>
              </a:solidFill>
              <a:round/>
            </a:ln>
            <a:effectLst/>
          </c:spPr>
          <c:marker>
            <c:symbol val="none"/>
          </c:marker>
          <c:cat>
            <c:numRef>
              <c:f>'installed-geothermal-capacity'!$G$1:$AA$253</c:f>
              <c:numCache>
                <c:formatCode>General</c:formatCode>
                <c:ptCount val="21"/>
                <c:pt idx="0">
                  <c:v>1990</c:v>
                </c:pt>
                <c:pt idx="1">
                  <c:v>1995</c:v>
                </c:pt>
                <c:pt idx="2">
                  <c:v>2000</c:v>
                </c:pt>
                <c:pt idx="3">
                  <c:v>2001</c:v>
                </c:pt>
                <c:pt idx="4">
                  <c:v>2002</c:v>
                </c:pt>
                <c:pt idx="5">
                  <c:v>2003</c:v>
                </c:pt>
                <c:pt idx="6">
                  <c:v>2004</c:v>
                </c:pt>
                <c:pt idx="7">
                  <c:v>2005</c:v>
                </c:pt>
                <c:pt idx="8">
                  <c:v>2006</c:v>
                </c:pt>
                <c:pt idx="9">
                  <c:v>2007</c:v>
                </c:pt>
                <c:pt idx="10">
                  <c:v>2008</c:v>
                </c:pt>
                <c:pt idx="11">
                  <c:v>2009</c:v>
                </c:pt>
                <c:pt idx="12">
                  <c:v>2010</c:v>
                </c:pt>
                <c:pt idx="13">
                  <c:v>2011</c:v>
                </c:pt>
                <c:pt idx="14">
                  <c:v>2012</c:v>
                </c:pt>
                <c:pt idx="15">
                  <c:v>2013</c:v>
                </c:pt>
                <c:pt idx="16">
                  <c:v>2014</c:v>
                </c:pt>
                <c:pt idx="17">
                  <c:v>2015</c:v>
                </c:pt>
                <c:pt idx="18">
                  <c:v>2016</c:v>
                </c:pt>
                <c:pt idx="19">
                  <c:v>2017</c:v>
                </c:pt>
                <c:pt idx="20">
                  <c:v>2018</c:v>
                </c:pt>
              </c:numCache>
            </c:numRef>
          </c:cat>
          <c:val>
            <c:numRef>
              <c:f>'installed-geothermal-capacity'!$G$261:$AA$261</c:f>
              <c:numCache>
                <c:formatCode>General</c:formatCode>
                <c:ptCount val="21"/>
                <c:pt idx="0">
                  <c:v>2913.5</c:v>
                </c:pt>
                <c:pt idx="1">
                  <c:v>3170.96</c:v>
                </c:pt>
                <c:pt idx="2">
                  <c:v>2942</c:v>
                </c:pt>
                <c:pt idx="3">
                  <c:v>3003</c:v>
                </c:pt>
                <c:pt idx="4">
                  <c:v>3029</c:v>
                </c:pt>
                <c:pt idx="5">
                  <c:v>3036</c:v>
                </c:pt>
                <c:pt idx="6">
                  <c:v>3094</c:v>
                </c:pt>
                <c:pt idx="7">
                  <c:v>3129</c:v>
                </c:pt>
                <c:pt idx="8">
                  <c:v>3171</c:v>
                </c:pt>
                <c:pt idx="9">
                  <c:v>3233</c:v>
                </c:pt>
                <c:pt idx="10">
                  <c:v>3243</c:v>
                </c:pt>
                <c:pt idx="11">
                  <c:v>3421</c:v>
                </c:pt>
                <c:pt idx="12">
                  <c:v>3498</c:v>
                </c:pt>
                <c:pt idx="13">
                  <c:v>3499.8</c:v>
                </c:pt>
                <c:pt idx="14">
                  <c:v>3724</c:v>
                </c:pt>
                <c:pt idx="15">
                  <c:v>3765</c:v>
                </c:pt>
                <c:pt idx="16">
                  <c:v>3757</c:v>
                </c:pt>
                <c:pt idx="17">
                  <c:v>3811.8</c:v>
                </c:pt>
                <c:pt idx="18">
                  <c:v>3804.6</c:v>
                </c:pt>
                <c:pt idx="19">
                  <c:v>3732.4</c:v>
                </c:pt>
                <c:pt idx="20">
                  <c:v>3801</c:v>
                </c:pt>
              </c:numCache>
            </c:numRef>
          </c:val>
          <c:smooth val="0"/>
          <c:extLst>
            <c:ext xmlns:c16="http://schemas.microsoft.com/office/drawing/2014/chart" uri="{C3380CC4-5D6E-409C-BE32-E72D297353CC}">
              <c16:uniqueId val="{00000007-7933-4A1F-8005-8927B947BACF}"/>
            </c:ext>
          </c:extLst>
        </c:ser>
        <c:dLbls>
          <c:showLegendKey val="0"/>
          <c:showVal val="0"/>
          <c:showCatName val="0"/>
          <c:showSerName val="0"/>
          <c:showPercent val="0"/>
          <c:showBubbleSize val="0"/>
        </c:dLbls>
        <c:smooth val="0"/>
        <c:axId val="-1751046016"/>
        <c:axId val="-1751042752"/>
      </c:lineChart>
      <c:catAx>
        <c:axId val="-175104601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1751042752"/>
        <c:crosses val="autoZero"/>
        <c:auto val="1"/>
        <c:lblAlgn val="ctr"/>
        <c:lblOffset val="100"/>
        <c:noMultiLvlLbl val="0"/>
      </c:catAx>
      <c:valAx>
        <c:axId val="-175104275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pl-PL"/>
                  <a:t>Megawatts</a:t>
                </a:r>
                <a:endParaRPr lang="en-GB"/>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pl-PL"/>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175104601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pl-PL" b="1" baseline="0"/>
              <a:t>Produkcja plastiku w róznych sektorach, 2015</a:t>
            </a:r>
            <a:endParaRPr lang="en-GB" b="1"/>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pl-PL"/>
        </a:p>
      </c:txPr>
    </c:title>
    <c:autoTitleDeleted val="0"/>
    <c:plotArea>
      <c:layout/>
      <c:barChart>
        <c:barDir val="bar"/>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Sheet7!$A$2:$A$9</c:f>
              <c:strCache>
                <c:ptCount val="8"/>
                <c:pt idx="0">
                  <c:v>Packaging</c:v>
                </c:pt>
                <c:pt idx="1">
                  <c:v>Other sector</c:v>
                </c:pt>
                <c:pt idx="2">
                  <c:v>Textiles</c:v>
                </c:pt>
                <c:pt idx="3">
                  <c:v>Consumer &amp; Institutional products</c:v>
                </c:pt>
                <c:pt idx="4">
                  <c:v>Transportation</c:v>
                </c:pt>
                <c:pt idx="5">
                  <c:v>Building &amp; Construction</c:v>
                </c:pt>
                <c:pt idx="6">
                  <c:v>Electronics</c:v>
                </c:pt>
                <c:pt idx="7">
                  <c:v>Industrial Machinery</c:v>
                </c:pt>
              </c:strCache>
            </c:strRef>
          </c:cat>
          <c:val>
            <c:numRef>
              <c:f>Sheet7!$B$2:$B$9</c:f>
              <c:numCache>
                <c:formatCode>General</c:formatCode>
                <c:ptCount val="8"/>
                <c:pt idx="0">
                  <c:v>141</c:v>
                </c:pt>
                <c:pt idx="1">
                  <c:v>42</c:v>
                </c:pt>
                <c:pt idx="2">
                  <c:v>38</c:v>
                </c:pt>
                <c:pt idx="3">
                  <c:v>37</c:v>
                </c:pt>
                <c:pt idx="4">
                  <c:v>17</c:v>
                </c:pt>
                <c:pt idx="5">
                  <c:v>13</c:v>
                </c:pt>
                <c:pt idx="6">
                  <c:v>13</c:v>
                </c:pt>
                <c:pt idx="7">
                  <c:v>1</c:v>
                </c:pt>
              </c:numCache>
            </c:numRef>
          </c:val>
          <c:extLst>
            <c:ext xmlns:c16="http://schemas.microsoft.com/office/drawing/2014/chart" uri="{C3380CC4-5D6E-409C-BE32-E72D297353CC}">
              <c16:uniqueId val="{00000000-A7A3-45EF-8EBB-D453B85458B4}"/>
            </c:ext>
          </c:extLst>
        </c:ser>
        <c:dLbls>
          <c:dLblPos val="outEnd"/>
          <c:showLegendKey val="0"/>
          <c:showVal val="1"/>
          <c:showCatName val="0"/>
          <c:showSerName val="0"/>
          <c:showPercent val="0"/>
          <c:showBubbleSize val="0"/>
        </c:dLbls>
        <c:gapWidth val="182"/>
        <c:axId val="-1751041664"/>
        <c:axId val="-1751045472"/>
      </c:barChart>
      <c:catAx>
        <c:axId val="-1751041664"/>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1751045472"/>
        <c:crosses val="autoZero"/>
        <c:auto val="1"/>
        <c:lblAlgn val="ctr"/>
        <c:lblOffset val="100"/>
        <c:noMultiLvlLbl val="0"/>
      </c:catAx>
      <c:valAx>
        <c:axId val="-1751045472"/>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pl-PL"/>
                  <a:t>Tony na rok</a:t>
                </a:r>
                <a:endParaRPr lang="en-GB"/>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pl-PL"/>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1751041664"/>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2.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3.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20">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7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ln w="9525" cap="flat" cmpd="sng" algn="ctr">
        <a:solidFill>
          <a:schemeClr val="tx1">
            <a:lumMod val="15000"/>
            <a:lumOff val="85000"/>
          </a:schemeClr>
        </a:solidFill>
        <a:round/>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2242A5-EB68-4845-A2C2-1D64DCE4C4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5399</TotalTime>
  <Pages>20</Pages>
  <Words>2963</Words>
  <Characters>17782</Characters>
  <Application>Microsoft Office Word</Application>
  <DocSecurity>0</DocSecurity>
  <Lines>148</Lines>
  <Paragraphs>41</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Tomasz Tarczyk</dc:creator>
  <cp:keywords/>
  <dc:description/>
  <cp:lastModifiedBy>Sławomir Kołodziej</cp:lastModifiedBy>
  <cp:revision>67</cp:revision>
  <cp:lastPrinted>2021-05-21T14:00:00Z</cp:lastPrinted>
  <dcterms:created xsi:type="dcterms:W3CDTF">2019-10-29T15:07:00Z</dcterms:created>
  <dcterms:modified xsi:type="dcterms:W3CDTF">2021-05-21T14:00:00Z</dcterms:modified>
</cp:coreProperties>
</file>